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3E" w:rsidRDefault="00FC4E3E" w:rsidP="00FC4E3E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>МКОУ «Гогазская СОШ»</w:t>
      </w:r>
    </w:p>
    <w:p w:rsidR="00FC4E3E" w:rsidRDefault="00FC4E3E" w:rsidP="00FC4E3E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</w:p>
    <w:p w:rsidR="00FC4E3E" w:rsidRDefault="00FC4E3E" w:rsidP="00FC4E3E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</w:p>
    <w:p w:rsidR="00FC4E3E" w:rsidRDefault="00FC4E3E" w:rsidP="00FC4E3E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>Информация</w:t>
      </w:r>
    </w:p>
    <w:p w:rsidR="00FC4E3E" w:rsidRDefault="00FC4E3E" w:rsidP="00FC4E3E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>для родителей и обучающихся</w:t>
      </w:r>
    </w:p>
    <w:p w:rsidR="00FC4E3E" w:rsidRPr="00FC4E3E" w:rsidRDefault="00FC4E3E" w:rsidP="00FC4E3E">
      <w:pPr>
        <w:shd w:val="clear" w:color="auto" w:fill="FFFFFF"/>
        <w:spacing w:after="0" w:line="42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444444"/>
          <w:kern w:val="36"/>
          <w:sz w:val="42"/>
          <w:szCs w:val="42"/>
          <w:lang w:eastAsia="ru-RU"/>
        </w:rPr>
        <w:t>по противодействию идеологии  экстремизма  и терроризма.</w:t>
      </w:r>
    </w:p>
    <w:p w:rsidR="00FC4E3E" w:rsidRDefault="00FC4E3E" w:rsidP="00FC4E3E">
      <w:pPr>
        <w:shd w:val="clear" w:color="auto" w:fill="FFFFFF"/>
        <w:spacing w:before="225"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E3E" w:rsidRDefault="00FC4E3E" w:rsidP="00FC4E3E">
      <w:pPr>
        <w:shd w:val="clear" w:color="auto" w:fill="FFFFFF"/>
        <w:spacing w:before="225"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E3E" w:rsidRDefault="00FC4E3E" w:rsidP="00FC4E3E">
      <w:pPr>
        <w:shd w:val="clear" w:color="auto" w:fill="FFFFFF"/>
        <w:spacing w:before="225"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E3E" w:rsidRPr="00FC4E3E" w:rsidRDefault="00617B83" w:rsidP="00617B83">
      <w:pPr>
        <w:shd w:val="clear" w:color="auto" w:fill="FFFFFF"/>
        <w:spacing w:before="225" w:after="0" w:line="324" w:lineRule="atLeast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FC4E3E" w:rsidRPr="00FC4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противодействию идеологии терроризма и экстремизма</w:t>
      </w:r>
    </w:p>
    <w:p w:rsidR="00FC4E3E" w:rsidRPr="00FC4E3E" w:rsidRDefault="00717AFE" w:rsidP="00FC4E3E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</w:t>
      </w:r>
      <w:r w:rsidR="00FC4E3E" w:rsidRPr="0061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b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Противодействие и профилактика экстремизма; уменьшение проявлений экстремизма и негативного отношения к лицам других национальностей и религиозных </w:t>
      </w:r>
      <w:proofErr w:type="spellStart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безопасности участников образовательного процесса во время их деятельности путем повышения безопасности их жизнедеятельности.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угрозы терроризма и экстремизма.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участников образовательного процесса по вопросам противодействия и профилактике экстремизма;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обучающихся уверенности в эффективности мероприятий по защите от чрезвычайных ситуаций;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проверка готовности участников образовательного процесса действовать в экстремальных ситуациях;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толерантного поведения к людям других национальностей и религиозных </w:t>
      </w:r>
      <w:proofErr w:type="spellStart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организация правового воспитания </w:t>
      </w:r>
      <w:proofErr w:type="gramStart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17AFE" w:rsidRPr="00FC4E3E" w:rsidRDefault="00717AF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4110"/>
        <w:gridCol w:w="2407"/>
        <w:gridCol w:w="2407"/>
      </w:tblGrid>
      <w:tr w:rsidR="00FC4E3E" w:rsidRPr="00FC4E3E" w:rsidTr="00FC4E3E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обследования  МКОУ «Гогазская СОШ</w:t>
            </w:r>
            <w:r w:rsidR="00FC4E3E"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предмет оценки уровня антитеррористической защищенности и готовности к новому учебному году.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 ОУ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ИКТ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  <w:p w:rsidR="00717AF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7AFE" w:rsidRDefault="00717AFE" w:rsidP="0071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  <w:p w:rsidR="00FC4E3E" w:rsidRPr="00FC4E3E" w:rsidRDefault="00717AFE" w:rsidP="007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«Преступная сущность идеологии терроризма»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  <w:p w:rsidR="00717AF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обшествознания</w:t>
            </w:r>
            <w:proofErr w:type="spellEnd"/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717AF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встреч, бесед с </w:t>
            </w:r>
            <w:proofErr w:type="gramStart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7AFE" w:rsidRDefault="00717AFE" w:rsidP="00717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  <w:p w:rsidR="00FC4E3E" w:rsidRPr="00FC4E3E" w:rsidRDefault="00717AFE" w:rsidP="0071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ОБЖ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Анонимное анкетирование учащихся на предмет выявления экстремистских, националистических идей и настроений.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Январь-Февраль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Директор.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AB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AB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Директор.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сотрудниками правоохранительных органов по темам: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«Дисциплинированность и бдительность – в чем выражается их взаимосвязь?»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террористы и экстремисты могут использовать подростков и молодежь в своих преступных целях»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AB035B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участковый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B035B" w:rsidRDefault="00AB035B" w:rsidP="00AB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ВР.</w:t>
            </w:r>
          </w:p>
          <w:p w:rsidR="00FC4E3E" w:rsidRPr="00FC4E3E" w:rsidRDefault="00AB035B" w:rsidP="00AB0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проводимых мероприятий по вопросам противодействия идеологии террори</w:t>
            </w:r>
            <w:r w:rsidR="00AB0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зма, экстремизма на сайте МКОУ  «Гогазская СОШ</w:t>
            </w: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FC4E3E" w:rsidRPr="00FC4E3E" w:rsidTr="00FC4E3E">
        <w:tc>
          <w:tcPr>
            <w:tcW w:w="96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физкультуры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празднование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«Дня Победы»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мая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истории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плакатов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терроризма».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 Социальный педагог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по противодействию экстремизма, терроризма: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«Давайте жит дружно! Учимся решать конфликты»;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«Учимся жить в многоликом мире»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 Социальный педагог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«Чрезвычайные ситуации»,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«Знаю. Умею. Делаю»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AB035B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C4E3E"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FC4E3E"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  <w:proofErr w:type="spellEnd"/>
            <w:r w:rsidR="00FC4E3E"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617B83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музыки. СТ. вожатый</w:t>
            </w:r>
          </w:p>
        </w:tc>
      </w:tr>
      <w:tr w:rsidR="00FC4E3E" w:rsidRPr="00FC4E3E" w:rsidTr="00FC4E3E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ноября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E3E" w:rsidRPr="00FC4E3E" w:rsidTr="00FC4E3E">
        <w:trPr>
          <w:trHeight w:val="138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семинары: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«Узнай, как защитить себя»</w:t>
            </w:r>
          </w:p>
          <w:p w:rsidR="00FC4E3E" w:rsidRPr="00FC4E3E" w:rsidRDefault="00FC4E3E" w:rsidP="00FC4E3E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«Психологический портрет террориста и его жертвы»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FC4E3E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4E3E" w:rsidRPr="00FC4E3E" w:rsidRDefault="00617B83" w:rsidP="00FC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C4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Кл. рук. Социальный педагог</w:t>
            </w:r>
          </w:p>
        </w:tc>
      </w:tr>
    </w:tbl>
    <w:p w:rsidR="00617B83" w:rsidRDefault="00617B83" w:rsidP="00FC4E3E">
      <w:pPr>
        <w:shd w:val="clear" w:color="auto" w:fill="FFFFFF"/>
        <w:spacing w:before="225"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1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плана мероприятий.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форм и методов работы по противодействию и профилактике экстремизма.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культуры интернационализма, согласия, национальной и религиозной терпимости в среде воспитанников.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Гармонизация межнациональных отношений, повышение уровня </w:t>
      </w:r>
      <w:proofErr w:type="spellStart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этносоциальной</w:t>
      </w:r>
      <w:proofErr w:type="spellEnd"/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комфортности.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FC4E3E" w:rsidRP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color w:val="44444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информационного пространства для пропаганды и распростр</w:t>
      </w:r>
      <w:r w:rsidR="0061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анения на территории МКОУ «Гогазская СОШ</w:t>
      </w: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идей толерантности, гражданской солидарности, уважения к другим культурам.</w:t>
      </w:r>
    </w:p>
    <w:p w:rsidR="00FC4E3E" w:rsidRDefault="00FC4E3E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B83" w:rsidRDefault="00617B83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617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                         М.Э. Лачинов</w:t>
      </w:r>
    </w:p>
    <w:p w:rsidR="00617B83" w:rsidRDefault="00617B83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617B83" w:rsidRDefault="00617B83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7B83" w:rsidRDefault="00617B83" w:rsidP="00FC4E3E">
      <w:pPr>
        <w:shd w:val="clear" w:color="auto" w:fill="FFFFFF"/>
        <w:spacing w:before="225" w:after="0" w:line="32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7B83" w:rsidRPr="00FC4E3E" w:rsidRDefault="00617B83" w:rsidP="00FC4E3E">
      <w:pPr>
        <w:shd w:val="clear" w:color="auto" w:fill="FFFFFF"/>
        <w:spacing w:before="225" w:after="0" w:line="324" w:lineRule="atLeast"/>
        <w:jc w:val="both"/>
        <w:rPr>
          <w:rFonts w:ascii="Arial" w:eastAsia="Times New Roman" w:hAnsi="Arial" w:cs="Arial"/>
          <w:b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</w:p>
    <w:sectPr w:rsidR="00617B83" w:rsidRPr="00FC4E3E" w:rsidSect="00FC4E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9D0"/>
    <w:multiLevelType w:val="multilevel"/>
    <w:tmpl w:val="F03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F477A"/>
    <w:multiLevelType w:val="multilevel"/>
    <w:tmpl w:val="8A4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874BB"/>
    <w:multiLevelType w:val="multilevel"/>
    <w:tmpl w:val="F48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3FB4"/>
    <w:multiLevelType w:val="multilevel"/>
    <w:tmpl w:val="4D6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439D0"/>
    <w:multiLevelType w:val="multilevel"/>
    <w:tmpl w:val="328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5553"/>
    <w:multiLevelType w:val="multilevel"/>
    <w:tmpl w:val="166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13532"/>
    <w:multiLevelType w:val="multilevel"/>
    <w:tmpl w:val="042C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84738"/>
    <w:multiLevelType w:val="multilevel"/>
    <w:tmpl w:val="EB52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7230F"/>
    <w:multiLevelType w:val="multilevel"/>
    <w:tmpl w:val="5CE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84FD3"/>
    <w:multiLevelType w:val="multilevel"/>
    <w:tmpl w:val="52C4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529EC"/>
    <w:multiLevelType w:val="multilevel"/>
    <w:tmpl w:val="E4E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347ED"/>
    <w:multiLevelType w:val="multilevel"/>
    <w:tmpl w:val="4342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0B74CF"/>
    <w:multiLevelType w:val="multilevel"/>
    <w:tmpl w:val="E024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E2FA8"/>
    <w:multiLevelType w:val="multilevel"/>
    <w:tmpl w:val="ECB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E1042"/>
    <w:multiLevelType w:val="multilevel"/>
    <w:tmpl w:val="C55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9365B"/>
    <w:multiLevelType w:val="multilevel"/>
    <w:tmpl w:val="0EA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710EA"/>
    <w:multiLevelType w:val="multilevel"/>
    <w:tmpl w:val="409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B34836"/>
    <w:multiLevelType w:val="multilevel"/>
    <w:tmpl w:val="F6A2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E70EB"/>
    <w:multiLevelType w:val="multilevel"/>
    <w:tmpl w:val="606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0E2277"/>
    <w:multiLevelType w:val="multilevel"/>
    <w:tmpl w:val="B99E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226E31"/>
    <w:multiLevelType w:val="multilevel"/>
    <w:tmpl w:val="354E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E1B75"/>
    <w:multiLevelType w:val="multilevel"/>
    <w:tmpl w:val="346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55C12"/>
    <w:multiLevelType w:val="multilevel"/>
    <w:tmpl w:val="C4E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B70D5"/>
    <w:multiLevelType w:val="multilevel"/>
    <w:tmpl w:val="B51C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B1DB2"/>
    <w:multiLevelType w:val="multilevel"/>
    <w:tmpl w:val="FDDE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934F80"/>
    <w:multiLevelType w:val="multilevel"/>
    <w:tmpl w:val="3A2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5A6BDD"/>
    <w:multiLevelType w:val="multilevel"/>
    <w:tmpl w:val="A60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72AF6"/>
    <w:multiLevelType w:val="multilevel"/>
    <w:tmpl w:val="A6C2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A6A74"/>
    <w:multiLevelType w:val="multilevel"/>
    <w:tmpl w:val="4BD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E43273"/>
    <w:multiLevelType w:val="multilevel"/>
    <w:tmpl w:val="2FA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6481B"/>
    <w:multiLevelType w:val="multilevel"/>
    <w:tmpl w:val="0D9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74184"/>
    <w:multiLevelType w:val="multilevel"/>
    <w:tmpl w:val="6172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65DE4"/>
    <w:multiLevelType w:val="multilevel"/>
    <w:tmpl w:val="6CE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5D2ECA"/>
    <w:multiLevelType w:val="multilevel"/>
    <w:tmpl w:val="65B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2A1FF3"/>
    <w:multiLevelType w:val="multilevel"/>
    <w:tmpl w:val="EA7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030E2"/>
    <w:multiLevelType w:val="multilevel"/>
    <w:tmpl w:val="057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C97A3F"/>
    <w:multiLevelType w:val="multilevel"/>
    <w:tmpl w:val="3246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2F7779"/>
    <w:multiLevelType w:val="multilevel"/>
    <w:tmpl w:val="722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04016"/>
    <w:multiLevelType w:val="multilevel"/>
    <w:tmpl w:val="8EC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A179F"/>
    <w:multiLevelType w:val="multilevel"/>
    <w:tmpl w:val="D30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553C7"/>
    <w:multiLevelType w:val="multilevel"/>
    <w:tmpl w:val="7AE4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35D99"/>
    <w:multiLevelType w:val="multilevel"/>
    <w:tmpl w:val="0D6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F514A0"/>
    <w:multiLevelType w:val="multilevel"/>
    <w:tmpl w:val="EA7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D359FF"/>
    <w:multiLevelType w:val="multilevel"/>
    <w:tmpl w:val="CD3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02D4E"/>
    <w:multiLevelType w:val="multilevel"/>
    <w:tmpl w:val="AF5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2C3FB8"/>
    <w:multiLevelType w:val="multilevel"/>
    <w:tmpl w:val="776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117B8E"/>
    <w:multiLevelType w:val="multilevel"/>
    <w:tmpl w:val="A84C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3"/>
  </w:num>
  <w:num w:numId="5">
    <w:abstractNumId w:val="46"/>
  </w:num>
  <w:num w:numId="6">
    <w:abstractNumId w:val="26"/>
  </w:num>
  <w:num w:numId="7">
    <w:abstractNumId w:val="29"/>
  </w:num>
  <w:num w:numId="8">
    <w:abstractNumId w:val="2"/>
  </w:num>
  <w:num w:numId="9">
    <w:abstractNumId w:val="5"/>
  </w:num>
  <w:num w:numId="10">
    <w:abstractNumId w:val="33"/>
  </w:num>
  <w:num w:numId="11">
    <w:abstractNumId w:val="27"/>
  </w:num>
  <w:num w:numId="12">
    <w:abstractNumId w:val="17"/>
  </w:num>
  <w:num w:numId="13">
    <w:abstractNumId w:val="10"/>
  </w:num>
  <w:num w:numId="14">
    <w:abstractNumId w:val="32"/>
  </w:num>
  <w:num w:numId="15">
    <w:abstractNumId w:val="14"/>
  </w:num>
  <w:num w:numId="16">
    <w:abstractNumId w:val="23"/>
  </w:num>
  <w:num w:numId="17">
    <w:abstractNumId w:val="44"/>
  </w:num>
  <w:num w:numId="18">
    <w:abstractNumId w:val="16"/>
  </w:num>
  <w:num w:numId="19">
    <w:abstractNumId w:val="4"/>
  </w:num>
  <w:num w:numId="20">
    <w:abstractNumId w:val="42"/>
  </w:num>
  <w:num w:numId="21">
    <w:abstractNumId w:val="24"/>
  </w:num>
  <w:num w:numId="22">
    <w:abstractNumId w:val="38"/>
  </w:num>
  <w:num w:numId="23">
    <w:abstractNumId w:val="43"/>
  </w:num>
  <w:num w:numId="24">
    <w:abstractNumId w:val="7"/>
  </w:num>
  <w:num w:numId="25">
    <w:abstractNumId w:val="41"/>
  </w:num>
  <w:num w:numId="26">
    <w:abstractNumId w:val="0"/>
  </w:num>
  <w:num w:numId="27">
    <w:abstractNumId w:val="9"/>
  </w:num>
  <w:num w:numId="28">
    <w:abstractNumId w:val="31"/>
  </w:num>
  <w:num w:numId="29">
    <w:abstractNumId w:val="8"/>
  </w:num>
  <w:num w:numId="30">
    <w:abstractNumId w:val="22"/>
  </w:num>
  <w:num w:numId="31">
    <w:abstractNumId w:val="6"/>
  </w:num>
  <w:num w:numId="32">
    <w:abstractNumId w:val="21"/>
  </w:num>
  <w:num w:numId="33">
    <w:abstractNumId w:val="45"/>
  </w:num>
  <w:num w:numId="34">
    <w:abstractNumId w:val="39"/>
  </w:num>
  <w:num w:numId="35">
    <w:abstractNumId w:val="11"/>
  </w:num>
  <w:num w:numId="36">
    <w:abstractNumId w:val="20"/>
  </w:num>
  <w:num w:numId="37">
    <w:abstractNumId w:val="19"/>
  </w:num>
  <w:num w:numId="38">
    <w:abstractNumId w:val="28"/>
  </w:num>
  <w:num w:numId="39">
    <w:abstractNumId w:val="1"/>
  </w:num>
  <w:num w:numId="40">
    <w:abstractNumId w:val="25"/>
  </w:num>
  <w:num w:numId="41">
    <w:abstractNumId w:val="40"/>
  </w:num>
  <w:num w:numId="42">
    <w:abstractNumId w:val="36"/>
  </w:num>
  <w:num w:numId="43">
    <w:abstractNumId w:val="12"/>
  </w:num>
  <w:num w:numId="44">
    <w:abstractNumId w:val="30"/>
  </w:num>
  <w:num w:numId="45">
    <w:abstractNumId w:val="34"/>
  </w:num>
  <w:num w:numId="46">
    <w:abstractNumId w:val="3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3E"/>
    <w:rsid w:val="00030ABC"/>
    <w:rsid w:val="00617B83"/>
    <w:rsid w:val="00717AFE"/>
    <w:rsid w:val="00AB035B"/>
    <w:rsid w:val="00CE6039"/>
    <w:rsid w:val="00F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39"/>
  </w:style>
  <w:style w:type="paragraph" w:styleId="1">
    <w:name w:val="heading 1"/>
    <w:basedOn w:val="a"/>
    <w:link w:val="10"/>
    <w:uiPriority w:val="9"/>
    <w:qFormat/>
    <w:rsid w:val="00FC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4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4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E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4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4E3E"/>
    <w:rPr>
      <w:b/>
      <w:bCs/>
    </w:rPr>
  </w:style>
  <w:style w:type="character" w:styleId="a4">
    <w:name w:val="Hyperlink"/>
    <w:basedOn w:val="a0"/>
    <w:uiPriority w:val="99"/>
    <w:semiHidden/>
    <w:unhideWhenUsed/>
    <w:rsid w:val="00FC4E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C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">
    <w:name w:val="color"/>
    <w:basedOn w:val="a0"/>
    <w:rsid w:val="00FC4E3E"/>
  </w:style>
  <w:style w:type="paragraph" w:styleId="a6">
    <w:name w:val="Balloon Text"/>
    <w:basedOn w:val="a"/>
    <w:link w:val="a7"/>
    <w:uiPriority w:val="99"/>
    <w:semiHidden/>
    <w:unhideWhenUsed/>
    <w:rsid w:val="00FC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2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47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</w:div>
              </w:divsChild>
            </w:div>
            <w:div w:id="3776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5989">
                  <w:marLeft w:val="225"/>
                  <w:marRight w:val="225"/>
                  <w:marTop w:val="225"/>
                  <w:marBottom w:val="225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</w:div>
              </w:divsChild>
            </w:div>
            <w:div w:id="9314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505">
                  <w:marLeft w:val="225"/>
                  <w:marRight w:val="225"/>
                  <w:marTop w:val="225"/>
                  <w:marBottom w:val="225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</w:div>
              </w:divsChild>
            </w:div>
            <w:div w:id="9491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051">
                  <w:marLeft w:val="225"/>
                  <w:marRight w:val="225"/>
                  <w:marTop w:val="225"/>
                  <w:marBottom w:val="225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</w:div>
              </w:divsChild>
            </w:div>
            <w:div w:id="20434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097">
                  <w:marLeft w:val="225"/>
                  <w:marRight w:val="225"/>
                  <w:marTop w:val="225"/>
                  <w:marBottom w:val="225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4308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385">
                  <w:marLeft w:val="225"/>
                  <w:marRight w:val="225"/>
                  <w:marTop w:val="225"/>
                  <w:marBottom w:val="225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</w:div>
              </w:divsChild>
            </w:div>
          </w:divsChild>
        </w:div>
        <w:div w:id="334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701">
              <w:marLeft w:val="225"/>
              <w:marRight w:val="225"/>
              <w:marTop w:val="225"/>
              <w:marBottom w:val="225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2019-11-15T11:56:00Z</dcterms:created>
  <dcterms:modified xsi:type="dcterms:W3CDTF">2019-11-15T12:38:00Z</dcterms:modified>
</cp:coreProperties>
</file>