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A7" w:rsidRDefault="003306A7" w:rsidP="00DF1146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      </w:t>
      </w:r>
      <w:r w:rsidRPr="003306A7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План финансово-хозяйственной деятельности</w:t>
      </w:r>
    </w:p>
    <w:p w:rsidR="003306A7" w:rsidRDefault="003306A7" w:rsidP="00DF1146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                         МКОУ «Гогазская СОШ»</w:t>
      </w:r>
      <w:r w:rsidRPr="003306A7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</w:t>
      </w:r>
    </w:p>
    <w:p w:rsidR="003306A7" w:rsidRPr="003306A7" w:rsidRDefault="003306A7" w:rsidP="00DF1146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                           на 2020 – 2025 годы.</w:t>
      </w:r>
    </w:p>
    <w:p w:rsidR="003306A7" w:rsidRPr="003306A7" w:rsidRDefault="003306A7" w:rsidP="003306A7">
      <w:pPr>
        <w:shd w:val="clear" w:color="auto" w:fill="FFFFFF"/>
        <w:spacing w:before="100" w:beforeAutospacing="1" w:after="300" w:line="36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Автор  М.Э.Лачинов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Комментарий к приказу Минфина РФ от 29.08.2016 № 142н.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Государственные (муниципальные) бюджетные учреждения, их обособленные (структурные) подразделения без прав юридических лиц, наделенные полномочиями по ведению бухгалтерского учета, составляют планы финансово-хозяйственной деятельности.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составляется на финансовый год в случае, если закон (решение) о бюджете утверждается на один финансовый год, либо на финансовый год и плановый период, если закон (решение) о бюджете утверждается на очередной финансовый год и плановый период. Общие требования к плану установлены Приказом Минфина РФ от 28.07.2010 № 81н (далее – Требования № 81н).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финансово-хозяйственной деятельности (далее – план) должен составляться бюджетным учреждением по кассовому методу в рублях с точностью до двух знаков после запятой по форме, утвержденной учредителем учреждения с соблюдением положений п. 8 Требований № 81н, содержащей заголовочную, содержательную и оформляющую части.</w:t>
      </w:r>
      <w:proofErr w:type="gramEnd"/>
    </w:p>
    <w:p w:rsidR="00DF1146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Комментируемым Приказом Минфина РФ от 29.08.2016 № 142н «О внесении изменений в Приказ Министерства финансов Российской Федерации от 28 июля 2010 г. № 81н «О Требованиях к плану финансово-хозяйственной деятельности государственного (муниципального) учреждения» (далее – Приказ № 142н) в Требованиях № 81н сделан ряд существенных изменений. Необходимо отметить, что новшества, внесенные Приказом № 142н, должны применяться при формировании плана на 2017 год (на 2017 год и на плановый период 2018 и 2019 годов), за исключением отдельных положений.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33"/>
          <w:szCs w:val="33"/>
          <w:lang w:eastAsia="ru-RU"/>
        </w:rPr>
      </w:pPr>
      <w:r w:rsidRPr="003306A7">
        <w:rPr>
          <w:rFonts w:ascii="inherit" w:eastAsia="Times New Roman" w:hAnsi="inherit" w:cs="Arial"/>
          <w:b/>
          <w:bCs/>
          <w:color w:val="000000"/>
          <w:sz w:val="33"/>
          <w:szCs w:val="33"/>
          <w:lang w:eastAsia="ru-RU"/>
        </w:rPr>
        <w:t>Составление табличной части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Напомним, что в табличную часть плана включаются следующие таблицы.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«Показатели финансового состояния учреждения (подразделения)». Таблица включает данные о нефинансовых и финансовых активах, обязательствах, принятых на последнюю отчетную дату, предшествующую дате составления плана.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«Показатели по поступлениям и выплатам учреждения (подразделения)».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2.1. «Показатели выплат по расходам на закупку товаров, работ, услуг учреждения (подразделения)».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«Сведения о средствах, поступающих во временное распоряжение учреждения (подразделения)».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«Справочная информация».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табличной части плана может отражаться иная информация по решению органа, осуществляющего функции и полномочия учредителя, с соблюдением структуры (в том числе строк и граф) табличной части и дополнением (при необходимости) иными строками и графами.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внесенным изменениям таблица 2 «Показатели по поступлениям и выплатам учреждения (подразделения)» формируется учреждением в разрезе:</w:t>
      </w:r>
    </w:p>
    <w:p w:rsidR="003306A7" w:rsidRPr="003306A7" w:rsidRDefault="003306A7" w:rsidP="00DF1146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субсидии на финансовое обеспечение выполнения государственного (муниципального) задания из федерального бюджета, бюджета субъекта РФ (местного бюджета);</w:t>
      </w:r>
    </w:p>
    <w:p w:rsidR="003306A7" w:rsidRPr="003306A7" w:rsidRDefault="003306A7" w:rsidP="00DF1146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субсидии на финансовое обеспечение выполнения государственного задания из бюджета Федерального фонда обязательного медицинского страхования;</w:t>
      </w:r>
    </w:p>
    <w:p w:rsidR="003306A7" w:rsidRPr="003306A7" w:rsidRDefault="003306A7" w:rsidP="00DF1146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субсидий на иные цели;</w:t>
      </w:r>
    </w:p>
    <w:p w:rsidR="003306A7" w:rsidRPr="003306A7" w:rsidRDefault="003306A7" w:rsidP="00DF1146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субсидий на осуществление капитальных вложений в объекты капитального строительства государственной (муниципальной) собственности или приобретение объектов недвижимого имущества в государственную (муниципальную) собственность;</w:t>
      </w:r>
    </w:p>
    <w:p w:rsidR="003306A7" w:rsidRPr="003306A7" w:rsidRDefault="003306A7" w:rsidP="00DF1146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грантов в форме субсидий, в том числе предоставляемых по результатам конкурсов;</w:t>
      </w:r>
    </w:p>
    <w:p w:rsidR="003306A7" w:rsidRPr="003306A7" w:rsidRDefault="003306A7" w:rsidP="00DF1146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поступлений от оказания услуг (выполнения работ) на платной основе и от иной приносящей доход деятельности;</w:t>
      </w:r>
    </w:p>
    <w:p w:rsidR="003306A7" w:rsidRPr="003306A7" w:rsidRDefault="003306A7" w:rsidP="00DF1146">
      <w:pPr>
        <w:numPr>
          <w:ilvl w:val="0"/>
          <w:numId w:val="1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поступлений от реализации ценных бумаг (в случаях, установленных федеральными законами).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</w:t>
      </w:r>
      <w:proofErr w:type="spellEnd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указываются суммы публичных нормативных обязательств, </w:t>
      </w:r>
      <w:proofErr w:type="gramStart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proofErr w:type="gramEnd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 исполнению которых от имени органа государственной власти (государственного органа), органа местного самоуправления в установленном порядке переданы учреждению, бюджетных инвестиций (в части переданных в соответствии с БК РФ полномочий государственного (муниципального) заказчика), а также сведения о средствах во временном распоряжении учреждения при принятии органом, осуществляющим функции и 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лномочия учредителя учреждения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*Применяется пр</w:t>
      </w:r>
      <w:r w:rsidR="00DF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формировании плана ФХД на 2020</w:t>
      </w: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Причем учредителю предоставлено право </w:t>
      </w:r>
      <w:proofErr w:type="gramStart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</w:t>
      </w:r>
      <w:proofErr w:type="gramEnd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эту графу в рекомендуемую для своих подведомственных учреждений форму плана финансово-хозяйственной деят</w:t>
      </w:r>
      <w:r w:rsidR="00DF1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ельности начиная с плана на 2019</w:t>
      </w: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изменениям в п. 8.1 Требований № 81н при заполнении строки 120 в графе 10 отражаются плановые показатели по доходам от грантов, предоставление которых </w:t>
      </w: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 соответствующего бюджета бюджетной системы РФ осуществляется по кодам 613 «Гранты в форме субсидии бюджетным учреждениям» или 623 «Гранты в форме субсидии автономным учреждениям» видов расходов бюджетов, а также грантов, предоставляемых физическими и юридическими лицами, в том</w:t>
      </w:r>
      <w:proofErr w:type="gramEnd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proofErr w:type="gramEnd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международными организациями и правительствами иностранных государств.</w:t>
      </w:r>
    </w:p>
    <w:p w:rsidR="003306A7" w:rsidRPr="003306A7" w:rsidRDefault="003306A7" w:rsidP="00DF1146">
      <w:pPr>
        <w:shd w:val="clear" w:color="auto" w:fill="FFFFFF"/>
        <w:spacing w:before="450" w:after="300" w:line="312" w:lineRule="atLeast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3"/>
          <w:szCs w:val="33"/>
          <w:lang w:eastAsia="ru-RU"/>
        </w:rPr>
      </w:pPr>
      <w:r w:rsidRPr="003306A7">
        <w:rPr>
          <w:rFonts w:ascii="inherit" w:eastAsia="Times New Roman" w:hAnsi="inherit" w:cs="Arial"/>
          <w:b/>
          <w:bCs/>
          <w:color w:val="000000"/>
          <w:sz w:val="33"/>
          <w:szCs w:val="33"/>
          <w:lang w:eastAsia="ru-RU"/>
        </w:rPr>
        <w:t>Расчеты (обоснования) направления расходования сре</w:t>
      </w:r>
      <w:proofErr w:type="gramStart"/>
      <w:r w:rsidRPr="003306A7">
        <w:rPr>
          <w:rFonts w:ascii="inherit" w:eastAsia="Times New Roman" w:hAnsi="inherit" w:cs="Arial"/>
          <w:b/>
          <w:bCs/>
          <w:color w:val="000000"/>
          <w:sz w:val="33"/>
          <w:szCs w:val="33"/>
          <w:lang w:eastAsia="ru-RU"/>
        </w:rPr>
        <w:t>дств в р</w:t>
      </w:r>
      <w:proofErr w:type="gramEnd"/>
      <w:r w:rsidRPr="003306A7">
        <w:rPr>
          <w:rFonts w:ascii="inherit" w:eastAsia="Times New Roman" w:hAnsi="inherit" w:cs="Arial"/>
          <w:b/>
          <w:bCs/>
          <w:color w:val="000000"/>
          <w:sz w:val="33"/>
          <w:szCs w:val="33"/>
          <w:lang w:eastAsia="ru-RU"/>
        </w:rPr>
        <w:t>асчетном периоде.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Изменения, внесенные Приказом № 142н, предусматривают введение обязательного требования прилагать к представляемому учреждением на утверждение органа исполнительной власти, выполняющему функции учредителя, проекту плана расчетные таблицы, содержащие обоснование направления расходования средств в расчетном периоде.</w:t>
      </w:r>
      <w:proofErr w:type="gramEnd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Рекомендуемый образец форм расчетных таблиц приведен в приложении к Приказу № 142н.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новой редакции п. 11 Требований № 81н к представляемому на утверждение проекту плана прилагаются расчеты (обоснования) плановых показателей по выплатам, использованные при формировании плана, являющиеся справочной информацией к нему.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отметить, что формы таблиц, приведенные в приложении 2 к Приказу № 142н, носят рекомендательный характер и при необходимости могут быть изменены (с соблюдением структуры, в том числе строк и граф таблицы) и дополнены иными графами, строками, а также дополнительными реквизитами и показателями, в том числе кодами показателей по соответствующим классификаторам технико-экономической и социальной информации.</w:t>
      </w:r>
      <w:proofErr w:type="gramEnd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Учреждение вправе применять дополнительные расчеты (обоснования) показателей, отраженных в таблицах в приложении 2 к Приказу № 142н, в соответствии с разработанными им дополнительными таблицами.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согласно структуре затрат отдельные виды выплат учреждением не осуществляются, то соответствующие расчеты (обоснования) к показателям плана не формируются.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Расчеты (обоснования) плановых показателей по выплатам формируются с учетом норм трудовых, материальных, технических ресурсов, используемых для оказания учреждением (подразделением) услуг (выполнения работ).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Расчеты (обоснования) плановых показателей по выплатам за счет субсидий, предоставляемых в соответствии с бюджетным законодательством РФ, осуществляются с учетом затрат, применяемых при обосновании бюджетных ассигнований главными распорядителями бюджетных средств в целях формирования проекта закона (решения) о бюджете на очередной финансовый год и плановый период, а также с учетом требований, установленных нормативными правовыми актами, в том числе ГОСТ, </w:t>
      </w:r>
      <w:proofErr w:type="spellStart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</w:t>
      </w:r>
      <w:proofErr w:type="spellEnd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стандартами</w:t>
      </w:r>
      <w:proofErr w:type="gramEnd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порядками и регламентами (паспортами) оказания государственной (муниципальной) услуги.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Расчеты (обоснования) плановых показателей по выплатам должны формироваться раздельно по источникам их финансового обеспечения в случае принятия органом, осуществляющим функции и полномочия учредителя, решения о планировании выплат по соответствующим расходам (по строкам 210 – 250 в графах 5 – 10) раздельно по источникам их финансового обеспечения.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Расчеты (обоснования) плановых показателей по выплатам, использованные при формировании плана ФХД, должны включать в себя следующее.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Расчет (обоснование) выплат персоналу (строка 210 таблицы 2 плана ФХД). В свою очередь, указанный расчет должен включать в себя расчеты (обоснования):</w:t>
      </w:r>
    </w:p>
    <w:p w:rsidR="003306A7" w:rsidRPr="003306A7" w:rsidRDefault="003306A7" w:rsidP="00DF1146">
      <w:pPr>
        <w:numPr>
          <w:ilvl w:val="0"/>
          <w:numId w:val="2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расходов на оплату труда. </w:t>
      </w:r>
      <w:proofErr w:type="gramStart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 расчете плановых показателей по оплате труда учитывается расчетная численность работников, включая основной, вспомогательный, административно-управленческий, обслуживающий персонал, расчетные должностные оклады, ежемесячные надбавки к должностному окладу, районные коэффициенты, стимулирующие выплаты, компенсационные выплаты, в том числе за работу с вредными и (или) опасными условиями труда, при выполнении работ в других условиях, отклоняющихся от нормальных, а также иные выплаты, предусмотренные законодательством РФ, локальными</w:t>
      </w:r>
      <w:proofErr w:type="gramEnd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нормативными актами учреждения в соответствии с утвержденным штатным расписанием, а также индексация указанных выплат;</w:t>
      </w:r>
    </w:p>
    <w:p w:rsidR="003306A7" w:rsidRPr="003306A7" w:rsidRDefault="003306A7" w:rsidP="00DF1146">
      <w:pPr>
        <w:numPr>
          <w:ilvl w:val="0"/>
          <w:numId w:val="2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выплат персоналу при направлении в командировки. </w:t>
      </w:r>
      <w:proofErr w:type="gramStart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 расчете плановых показателей выплат компенсационного характера персоналу учреждений, не включаемых в фонд оплаты труда, учитываются выплаты по возмещению работникам (сотрудникам) расходов, связанных со служебными командировками, возмещению расходов на прохождение медицинского осмотра, компенсации расходов на оплату стоимости проезда и провоза багажа к месту использования отпуска и обратно для лиц, работающих в районах Крайнего Севера и приравненных к ним местностях, и</w:t>
      </w:r>
      <w:proofErr w:type="gramEnd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членов их семей, иные компенсационные выплаты работникам, предусмотренные законодательством РФ, локальными нормативными актами учреждения;</w:t>
      </w:r>
    </w:p>
    <w:p w:rsidR="003306A7" w:rsidRPr="003306A7" w:rsidRDefault="003306A7" w:rsidP="00DF1146">
      <w:pPr>
        <w:numPr>
          <w:ilvl w:val="0"/>
          <w:numId w:val="2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выплат персоналу по уходу за ребенком;</w:t>
      </w:r>
    </w:p>
    <w:p w:rsidR="003306A7" w:rsidRPr="003306A7" w:rsidRDefault="003306A7" w:rsidP="00DF1146">
      <w:pPr>
        <w:numPr>
          <w:ilvl w:val="0"/>
          <w:numId w:val="2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взносов на обязательное страхование в ПФР, ФСС, ФФОМС. При расчете плановых показателей страховых взносов в ПФР, ФСС, ФФОМС учитываются тарифы таких взносов, установленные законодательством РФ.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Расчет (обоснование) расходов на социальные и иные выплаты населению (строка 220 таблицы 2 плана ФХД). </w:t>
      </w:r>
      <w:proofErr w:type="gramStart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 данном расчете отражаются выплаты, не связанные с выплатами работникам, возникающими в рамках трудовых отношений (расходы по социальному обеспечению населения вне рамок систем государственного пенсионного, социального, медицинского страхования), в том числе на оплату медицинского обслуживания, путевок на санаторно-курортное лечение и в детские оздоровительные лагеря, а также выплаты </w:t>
      </w: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бывшим работникам учреждений, в том числе к памятным датам, профессиональным праздникам, с учетом</w:t>
      </w:r>
      <w:proofErr w:type="gramEnd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количества планируемых выплат в год и их размера.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Расчет (обоснование) расходов на уплату налогов, сборов и иных платежей (строка 230 таблицы 2 плана ФХД). Заполнение данного расчета должно осуществляться с учетом объекта налогообложения, особенностей определения налоговой базы, налоговых льгот, оснований и порядка их применения, а также налоговой ставки, порядка и сроков уплаты по каждому налогу в соответствии с законодательством РФ о налогах и сборах. Указанный расчет заполняется в разрезе:</w:t>
      </w:r>
    </w:p>
    <w:p w:rsidR="003306A7" w:rsidRPr="003306A7" w:rsidRDefault="003306A7" w:rsidP="00DF1146">
      <w:pPr>
        <w:numPr>
          <w:ilvl w:val="0"/>
          <w:numId w:val="3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налога на имущество организаций;</w:t>
      </w:r>
    </w:p>
    <w:p w:rsidR="003306A7" w:rsidRPr="003306A7" w:rsidRDefault="003306A7" w:rsidP="00DF1146">
      <w:pPr>
        <w:numPr>
          <w:ilvl w:val="0"/>
          <w:numId w:val="3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земельного налога;</w:t>
      </w:r>
    </w:p>
    <w:p w:rsidR="003306A7" w:rsidRPr="003306A7" w:rsidRDefault="003306A7" w:rsidP="00DF1146">
      <w:pPr>
        <w:numPr>
          <w:ilvl w:val="0"/>
          <w:numId w:val="3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прочих налогов и сборов.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Расчет (обоснование) расходов на безвозмездные перечисления организациям (строка 240 таблицы 2 плана ФХД) осуществляется с учетом количества планируемых безвозмездных перечислений организациям в год и их размера.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Расчет (обоснование) прочих расходов (кроме расходов на закупку товаров, работ, услуг) (строка 250 таблицы 2) осуществляется по видам выплат с учетом количества планируемых выплат в год и их размера. В данном расчете отражаются расходы по выплатам стипендий учащимся, студентам, аспирантам, ученым с учетом количества планируемых выплат в год и их размера по видам выплат.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Расчет (обоснование) расходов на закупку товаров, работ, услуг. В данный расчет (строка 260 таблицы 2) включаются расходы на оплату:</w:t>
      </w:r>
    </w:p>
    <w:p w:rsidR="003306A7" w:rsidRPr="003306A7" w:rsidRDefault="003306A7" w:rsidP="00DF1146">
      <w:pPr>
        <w:numPr>
          <w:ilvl w:val="0"/>
          <w:numId w:val="4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услуг связи. </w:t>
      </w:r>
      <w:proofErr w:type="gramStart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Расчет плановых показателей на оплату услуг связи должен учитывать количество абонентских номеров, подключенных к сети связи, цены услуг связи, ежемесячную абонентскую плату в расчете на один абонентский номер, количество месяцев предоставления услуги, размер повременной оплаты междугородных, международных и местных телефонных соединений, а также стоимость услуг при повременной оплате услуг телефонной связи, количество пересылаемой корреспонденции, в том числе с использованием фельдъегерской</w:t>
      </w:r>
      <w:proofErr w:type="gramEnd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 специальной связи, стоимость пересылки почтовой корреспонденции за единицу услуги, стоимость аренды интернет-канала, повременная плата за интернет-услуги или оплата </w:t>
      </w:r>
      <w:proofErr w:type="spellStart"/>
      <w:proofErr w:type="gramStart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интернет-трафика</w:t>
      </w:r>
      <w:proofErr w:type="spellEnd"/>
      <w:proofErr w:type="gramEnd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;</w:t>
      </w:r>
    </w:p>
    <w:p w:rsidR="003306A7" w:rsidRPr="003306A7" w:rsidRDefault="003306A7" w:rsidP="00DF1146">
      <w:pPr>
        <w:numPr>
          <w:ilvl w:val="0"/>
          <w:numId w:val="4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транспортных услуг. Расчет (обоснование) плановых показателей по оплате транспортных услуг осуществляется с учетом видов услуг по перевозке (транспортировке) грузов, пассажирских перевозок (количества заключенных договоров) и стоимости указанных услуг;</w:t>
      </w:r>
    </w:p>
    <w:p w:rsidR="003306A7" w:rsidRPr="003306A7" w:rsidRDefault="003306A7" w:rsidP="00DF1146">
      <w:pPr>
        <w:numPr>
          <w:ilvl w:val="0"/>
          <w:numId w:val="4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коммунальных услуг. </w:t>
      </w:r>
      <w:proofErr w:type="gramStart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Расчет (обоснование) плановых показателей по оплате коммунальных услуг включает в себя расчеты расходов на газоснабжение (иные виды топлива), на </w:t>
      </w:r>
      <w:proofErr w:type="spellStart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электро</w:t>
      </w:r>
      <w:proofErr w:type="spellEnd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-, теплоснабжение, горячее, холодное водоснабжение и водоотведение с учетом количества заключенных договоров о предоставлении коммунальных услуг, объектов, тарифов на оказание коммунальных услуг (в том числе с учетом применяемого </w:t>
      </w:r>
      <w:proofErr w:type="spellStart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одноставочного</w:t>
      </w:r>
      <w:proofErr w:type="spellEnd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дифференцированного по зонам суток или </w:t>
      </w:r>
      <w:proofErr w:type="spellStart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двуставочного</w:t>
      </w:r>
      <w:proofErr w:type="spellEnd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тарифа на электроэнергию), </w:t>
      </w: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расчетной потребности планового</w:t>
      </w:r>
      <w:proofErr w:type="gramEnd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потребления услуг и затраты на транспортировку топлива (при наличии);</w:t>
      </w:r>
    </w:p>
    <w:p w:rsidR="003306A7" w:rsidRPr="003306A7" w:rsidRDefault="003306A7" w:rsidP="00DF1146">
      <w:pPr>
        <w:numPr>
          <w:ilvl w:val="0"/>
          <w:numId w:val="4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аренды имущества. </w:t>
      </w:r>
      <w:proofErr w:type="gramStart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Расчеты (обоснования) расходов на оплату аренды имущества, в том числе объектов недвижимого имущества, осуществляются с учетом арендуемой площади (количества арендуемого оборудования, иного имущества), количества месяцев (суток, часов) аренды, цены аренды в месяц (сутки, час), а также стоимости возмещаемых услуг (по содержанию имущества, его охране, потребляемых коммунальных услуг);</w:t>
      </w:r>
      <w:proofErr w:type="gramEnd"/>
    </w:p>
    <w:p w:rsidR="003306A7" w:rsidRPr="003306A7" w:rsidRDefault="003306A7" w:rsidP="00DF1146">
      <w:pPr>
        <w:numPr>
          <w:ilvl w:val="0"/>
          <w:numId w:val="4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содержания имущества. </w:t>
      </w:r>
      <w:proofErr w:type="gramStart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Расчеты (обоснования) расходов на содержание имущества осуществляются с учетом планов ремонтных работ и их сметной стоимости, определенной с учетом необходимого объема ремонтных работ, графика </w:t>
      </w:r>
      <w:proofErr w:type="spellStart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регламентно-профилактических</w:t>
      </w:r>
      <w:proofErr w:type="spellEnd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работ по ремонту оборудования, требований к санитарно-гигиеническому обслуживанию, охране труда (включая уборку помещений и территории, вывоз твердых бытовых отходов, мойку, химическую чистку, дезинфекцию, дезинсекцию), а также правил его эксплуатации для оказания государственной (муниципальной) услуги;</w:t>
      </w:r>
      <w:proofErr w:type="gramEnd"/>
    </w:p>
    <w:p w:rsidR="003306A7" w:rsidRPr="003306A7" w:rsidRDefault="003306A7" w:rsidP="00DF1146">
      <w:pPr>
        <w:numPr>
          <w:ilvl w:val="0"/>
          <w:numId w:val="4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прочих работ и услуг. Указанные расчеты (обоснования) должны включать в себя расчеты необходимых выплат на страхование, в том числе на обязательное страхование гражданской ответственности владельцев транспортных средств, типографские услуги, информационные услуги с 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 Страховая премия (</w:t>
      </w:r>
      <w:hyperlink r:id="rId5" w:tooltip="страховые взносы (определение, описание, подробности)" w:history="1">
        <w:r w:rsidRPr="003306A7">
          <w:rPr>
            <w:rFonts w:ascii="inherit" w:eastAsia="Times New Roman" w:hAnsi="inherit" w:cs="Arial"/>
            <w:color w:val="000099"/>
            <w:sz w:val="24"/>
            <w:szCs w:val="24"/>
            <w:u w:val="single"/>
            <w:lang w:eastAsia="ru-RU"/>
          </w:rPr>
          <w:t>страховые взносы</w:t>
        </w:r>
      </w:hyperlink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 определяется в соответствии с количеством застрахованных работников, застрахованного имущества, с учетом базовых ставок страховых тарифов и поправочных коэффициентов к ним, определяемых с учетом технических характеристик застрахованного имущества, характера страхового риска и условий договора страхования, в том числе наличия франшизы и ее размера по условиям договора страхования. Расходы на </w:t>
      </w:r>
      <w:hyperlink r:id="rId6" w:tooltip="повышение квалификации (определение, описание, подробности)" w:history="1">
        <w:r w:rsidRPr="003306A7">
          <w:rPr>
            <w:rFonts w:ascii="inherit" w:eastAsia="Times New Roman" w:hAnsi="inherit" w:cs="Arial"/>
            <w:color w:val="000099"/>
            <w:sz w:val="24"/>
            <w:szCs w:val="24"/>
            <w:u w:val="single"/>
            <w:lang w:eastAsia="ru-RU"/>
          </w:rPr>
          <w:t>повышение квалификации</w:t>
        </w:r>
      </w:hyperlink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(профессиональную переподготовку) определяются с учетом требований законодательства РФ, количества работников, направляемых на повышение квалификации, и цены обучения одного работника по каждому виду дополнительного профессионального образования. Сюда же относятся расходы на оплату медицинских осмотров, консультационных услуг, экспертных услуг, научно-исследовательских работ и т. д.;</w:t>
      </w:r>
    </w:p>
    <w:p w:rsidR="003306A7" w:rsidRPr="003306A7" w:rsidRDefault="003306A7" w:rsidP="00DF1146">
      <w:pPr>
        <w:numPr>
          <w:ilvl w:val="0"/>
          <w:numId w:val="4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приобретения основных средств (к примеру, оборудования, транспортных средств, мебели, инвентаря, бытовых приборов). Такие расчеты (обоснования) осуществляются с учетом среднего срока эксплуатации амортизируемого имущества. </w:t>
      </w:r>
      <w:proofErr w:type="gramStart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Должны применяться нормы обеспеченности таким имуществом, выраженные в натуральных показателях, установленные правовыми актами, а также стоимость приобретения необходимого имущества, определенная методом сопоставимых рыночных цен (анализа рынка), заключающемся в анализе информации о рыночных ценах идентичных (однородных) товаров, работ, услуг, в том числе информации о ценах организаций-изготовителей, об уровне цен, имеющихся у органов государственной статистики, а также в средствах массовой информации и</w:t>
      </w:r>
      <w:proofErr w:type="gramEnd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специальной литературе, включая официальные сайты в Интернете производителей и поставщиков;</w:t>
      </w:r>
    </w:p>
    <w:p w:rsidR="003306A7" w:rsidRPr="003306A7" w:rsidRDefault="003306A7" w:rsidP="00DF1146">
      <w:pPr>
        <w:numPr>
          <w:ilvl w:val="0"/>
          <w:numId w:val="4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приобретения материальных запасов. Расчеты (обоснования) расходов на это должны осуществляться с учетом потребности в продуктах питания, лекарственных средствах, горюче-смазочных и строительных материалах, мягком инвентаре и специальной одежде и обуви, запасных частях к оборудованию и транспортным средствам, хозяйственных товарах и канцелярских принадлежностях в соответствии с нормами обеспеченности таким имуществом, выраженными в натуральных показателях.</w:t>
      </w:r>
    </w:p>
    <w:p w:rsidR="003306A7" w:rsidRPr="003306A7" w:rsidRDefault="003306A7" w:rsidP="00DF1146">
      <w:pPr>
        <w:shd w:val="clear" w:color="auto" w:fill="FFFFFF"/>
        <w:spacing w:before="450" w:after="300" w:line="312" w:lineRule="atLeast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3"/>
          <w:szCs w:val="33"/>
          <w:lang w:eastAsia="ru-RU"/>
        </w:rPr>
      </w:pPr>
      <w:r w:rsidRPr="003306A7">
        <w:rPr>
          <w:rFonts w:ascii="inherit" w:eastAsia="Times New Roman" w:hAnsi="inherit" w:cs="Arial"/>
          <w:b/>
          <w:bCs/>
          <w:color w:val="000000"/>
          <w:sz w:val="33"/>
          <w:szCs w:val="33"/>
          <w:lang w:eastAsia="ru-RU"/>
        </w:rPr>
        <w:lastRenderedPageBreak/>
        <w:t>Сведения о целевых субсидиях.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 предоставления учреждению целевой субсидии (за исключением субсидий, предоставленных учреждению на возмещение нормативных затрат, связанных с оказанием государственных (муниципальных) услуг в соответствии с государственным (муниципальным) заданием), кроме плана, ему необходимо составить и представить учредителю сведения об операциях с целевыми субсидиями, предоставленными государственному (муниципальному) учреждению (ф. 0501016) (далее – сведения о целевых субсидиях).</w:t>
      </w:r>
      <w:proofErr w:type="gramEnd"/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Отметим, что сведения о целевых субсидиях не должны содержать информации о субсидиях, предоставленных учреждению на финансовое обеспечение выполнения государственного (муниципального) задания. На основании сведений о целевых субсидиях, утвержденных учредителем, учреждение составляет отдельно сведения о целевых субсидиях для осуществления расходов за счет целевых субсидий данным учреждением и сведения о целевых субсидиях для осуществления расходов за счет целевых субсидий по каждому подразделению.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Напомним, что предоставление субсидий осуществляется в соответствии с соглашениями, заключаемыми между учредителем и бюджетным учреждением (</w:t>
      </w:r>
      <w:proofErr w:type="gramStart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1 ст. 78.1 БК РФ). Указанное соглашение должно определять права, обязанности и ответственность сторон, в том числе объем и периодичность перечисления субсидии в течение финансового года.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 условиями предоставления учреждению субсидий на иные цели, включаемыми в договоры (соглашения) о предоставлении субсидий, являются согласие учреждений на осуществление главным распорядителем (распорядителем) бюджетных средств, предоставившим субсидии, и органами государственного (муниципального) финансового контроля проверок соблюдения получателями субсидий условий, целей и порядка их предоставления и запрет приобретения за счет полученных средств иностранной валюты, за исключением операций, осуществляемых в соответствии с валютным</w:t>
      </w:r>
      <w:proofErr w:type="gramEnd"/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законодательством РФ при закупке (поставке) высокотехнологичного импортного оборудования, сырья и комплектующих изделий, а также связанных с 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 являющимся государственными (муниципальными) учреждениями (ч. 3 ст. 78.1 БК РФ).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составлении сведений учреждением (подразделением) в них указываются:</w:t>
      </w:r>
    </w:p>
    <w:p w:rsidR="003306A7" w:rsidRPr="003306A7" w:rsidRDefault="003306A7" w:rsidP="00DF1146">
      <w:pPr>
        <w:numPr>
          <w:ilvl w:val="0"/>
          <w:numId w:val="5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 графе 1 – наименование целевой субсидии с указанием цели, на осуществление которой предоставляется целевая субсидия;</w:t>
      </w:r>
    </w:p>
    <w:p w:rsidR="003306A7" w:rsidRPr="003306A7" w:rsidRDefault="003306A7" w:rsidP="00DF1146">
      <w:pPr>
        <w:numPr>
          <w:ilvl w:val="0"/>
          <w:numId w:val="5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 графе 2 – аналитический код, присвоенный для учета операций с целевой субсидией (далее – код субсидии);</w:t>
      </w:r>
    </w:p>
    <w:p w:rsidR="003306A7" w:rsidRPr="003306A7" w:rsidRDefault="003306A7" w:rsidP="00DF1146">
      <w:pPr>
        <w:numPr>
          <w:ilvl w:val="0"/>
          <w:numId w:val="5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в графе 3 – код (составная часть кода) по бюджетной классификации РФ исходя из экономического содержания планируемых поступлений и выплат;</w:t>
      </w:r>
    </w:p>
    <w:p w:rsidR="003306A7" w:rsidRPr="003306A7" w:rsidRDefault="003306A7" w:rsidP="00DF1146">
      <w:pPr>
        <w:numPr>
          <w:ilvl w:val="0"/>
          <w:numId w:val="5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 графе 4 – код объекта капитального строительства (объекта недвижимости, мероприятия (укрупненного инвестиционного проекта)), включенного в федеральную адресную инвестиционную программу, на строительство (реконструкцию, в том числе с элементами реставрации, техническое перевооружение) или приобретение которого предоставляется целевая субсидия;</w:t>
      </w:r>
    </w:p>
    <w:p w:rsidR="003306A7" w:rsidRPr="003306A7" w:rsidRDefault="003306A7" w:rsidP="00DF1146">
      <w:pPr>
        <w:numPr>
          <w:ilvl w:val="0"/>
          <w:numId w:val="5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 графах 5, 7 – код субсидии, присвоенный в прошлых финансовых периодах в случае, если коды субсидии, присвоенные для учета операций с целевой субсидией в прошлые годы и в новом финансовом году, различаются;</w:t>
      </w:r>
    </w:p>
    <w:p w:rsidR="003306A7" w:rsidRPr="003306A7" w:rsidRDefault="003306A7" w:rsidP="00DF1146">
      <w:pPr>
        <w:numPr>
          <w:ilvl w:val="0"/>
          <w:numId w:val="5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 графе 6 – суммы не использованных на начало текущего финансового года остатков целевых субсидий, по которым в установленном порядке подтверждена потребность в направлении их </w:t>
      </w:r>
      <w:proofErr w:type="gramStart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 те</w:t>
      </w:r>
      <w:proofErr w:type="gramEnd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же цели;</w:t>
      </w:r>
    </w:p>
    <w:p w:rsidR="003306A7" w:rsidRPr="003306A7" w:rsidRDefault="003306A7" w:rsidP="00DF1146">
      <w:pPr>
        <w:numPr>
          <w:ilvl w:val="0"/>
          <w:numId w:val="5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 графе 8 – суммы возвращенной учреждению задолженности по выплатам, произведенным из средств субсидии в прошлых финансовых периодах, по которым в установленном порядке подтверждена потребность в направлении их </w:t>
      </w:r>
      <w:proofErr w:type="gramStart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 те</w:t>
      </w:r>
      <w:proofErr w:type="gramEnd"/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же цели;</w:t>
      </w:r>
    </w:p>
    <w:p w:rsidR="003306A7" w:rsidRPr="003306A7" w:rsidRDefault="003306A7" w:rsidP="00DF1146">
      <w:pPr>
        <w:numPr>
          <w:ilvl w:val="0"/>
          <w:numId w:val="5"/>
        </w:numPr>
        <w:shd w:val="clear" w:color="auto" w:fill="FFFFFF"/>
        <w:spacing w:after="0" w:line="330" w:lineRule="atLeast"/>
        <w:ind w:left="67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306A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 графах 9, 10 – суммы планируемых в текущем финансовом году поступлений целевых субсидий и выплат, источником финансового обеспечения которых являются целевые субсидии соответственно.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учреждению (подразделению) предоставляются несколько целевых субсидий, показатели выплат в сведениях отражаются без формирования промежуточных итогов по каждой целевой субсидии.</w:t>
      </w:r>
    </w:p>
    <w:p w:rsidR="003306A7" w:rsidRPr="003306A7" w:rsidRDefault="003306A7" w:rsidP="00DF1146">
      <w:pPr>
        <w:shd w:val="clear" w:color="auto" w:fill="FFFFFF"/>
        <w:spacing w:before="100" w:beforeAutospacing="1" w:after="30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объемов планируемых выплат в сведениях осуществляется согласно нормативному (муниципальному) правовому акту, устанавливающему порядок предоставления целевой субсидии из соответствующего бюджета.</w:t>
      </w:r>
    </w:p>
    <w:p w:rsidR="003306A7" w:rsidRPr="003306A7" w:rsidRDefault="003306A7" w:rsidP="00DF1146">
      <w:pPr>
        <w:shd w:val="clear" w:color="auto" w:fill="FFFFFF"/>
        <w:spacing w:before="100" w:beforeAutospacing="1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заключение отметим большое количество опечаток, допущенных в формах расчетов (обоснований) к плану ФХД. По-видимому, в дальнейшем следует ожидать внесения изменений в уже утвержденные формы.</w:t>
      </w:r>
    </w:p>
    <w:p w:rsidR="00EA5ECB" w:rsidRDefault="00EA5ECB"/>
    <w:sectPr w:rsidR="00EA5ECB" w:rsidSect="00DF114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0018"/>
    <w:multiLevelType w:val="multilevel"/>
    <w:tmpl w:val="AD3A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E61C89"/>
    <w:multiLevelType w:val="multilevel"/>
    <w:tmpl w:val="CCD8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5804DA"/>
    <w:multiLevelType w:val="multilevel"/>
    <w:tmpl w:val="99E2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D83BAA"/>
    <w:multiLevelType w:val="multilevel"/>
    <w:tmpl w:val="663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153BCB"/>
    <w:multiLevelType w:val="multilevel"/>
    <w:tmpl w:val="931C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6A7"/>
    <w:rsid w:val="003306A7"/>
    <w:rsid w:val="0070547C"/>
    <w:rsid w:val="00DF1146"/>
    <w:rsid w:val="00EA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CB"/>
  </w:style>
  <w:style w:type="paragraph" w:styleId="1">
    <w:name w:val="heading 1"/>
    <w:basedOn w:val="a"/>
    <w:link w:val="10"/>
    <w:uiPriority w:val="9"/>
    <w:qFormat/>
    <w:rsid w:val="00330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0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06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06A7"/>
    <w:rPr>
      <w:b/>
      <w:bCs/>
    </w:rPr>
  </w:style>
  <w:style w:type="character" w:styleId="a6">
    <w:name w:val="Emphasis"/>
    <w:basedOn w:val="a0"/>
    <w:uiPriority w:val="20"/>
    <w:qFormat/>
    <w:rsid w:val="003306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33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rud/povyshenie_kvalifikatsii.html" TargetMode="External"/><Relationship Id="rId5" Type="http://schemas.openxmlformats.org/officeDocument/2006/relationships/hyperlink" Target="https://www.audit-it.ru/terms/taxation/strakhovye_vznos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3134</Words>
  <Characters>17867</Characters>
  <Application>Microsoft Office Word</Application>
  <DocSecurity>0</DocSecurity>
  <Lines>148</Lines>
  <Paragraphs>41</Paragraphs>
  <ScaleCrop>false</ScaleCrop>
  <Company>Microsoft</Company>
  <LinksUpToDate>false</LinksUpToDate>
  <CharactersWithSpaces>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2020-09-13T09:58:00Z</dcterms:created>
  <dcterms:modified xsi:type="dcterms:W3CDTF">2020-09-13T11:26:00Z</dcterms:modified>
</cp:coreProperties>
</file>