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06A7" w:rsidRDefault="003306A7" w:rsidP="00DF1146">
      <w:pPr>
        <w:shd w:val="clear" w:color="auto" w:fill="FFFFFF"/>
        <w:spacing w:after="0" w:line="450" w:lineRule="atLeast"/>
        <w:textAlignment w:val="baseline"/>
        <w:outlineLvl w:val="0"/>
        <w:rPr>
          <w:rFonts w:ascii="Arial" w:eastAsia="Times New Roman" w:hAnsi="Arial" w:cs="Arial"/>
          <w:color w:val="000000"/>
          <w:kern w:val="36"/>
          <w:sz w:val="36"/>
          <w:szCs w:val="36"/>
          <w:lang w:eastAsia="ru-RU"/>
        </w:rPr>
      </w:pPr>
      <w:r>
        <w:rPr>
          <w:rFonts w:ascii="Arial" w:eastAsia="Times New Roman" w:hAnsi="Arial" w:cs="Arial"/>
          <w:color w:val="000000"/>
          <w:kern w:val="36"/>
          <w:sz w:val="36"/>
          <w:szCs w:val="36"/>
          <w:lang w:eastAsia="ru-RU"/>
        </w:rPr>
        <w:t xml:space="preserve">       </w:t>
      </w:r>
      <w:r w:rsidRPr="003306A7">
        <w:rPr>
          <w:rFonts w:ascii="Arial" w:eastAsia="Times New Roman" w:hAnsi="Arial" w:cs="Arial"/>
          <w:color w:val="000000"/>
          <w:kern w:val="36"/>
          <w:sz w:val="36"/>
          <w:szCs w:val="36"/>
          <w:lang w:eastAsia="ru-RU"/>
        </w:rPr>
        <w:t>План финансово-хозяйственной деятельности</w:t>
      </w:r>
    </w:p>
    <w:p w:rsidR="003306A7" w:rsidRDefault="003306A7" w:rsidP="00DF1146">
      <w:pPr>
        <w:shd w:val="clear" w:color="auto" w:fill="FFFFFF"/>
        <w:spacing w:after="0" w:line="450" w:lineRule="atLeast"/>
        <w:textAlignment w:val="baseline"/>
        <w:outlineLvl w:val="0"/>
        <w:rPr>
          <w:rFonts w:ascii="Arial" w:eastAsia="Times New Roman" w:hAnsi="Arial" w:cs="Arial"/>
          <w:color w:val="000000"/>
          <w:kern w:val="36"/>
          <w:sz w:val="36"/>
          <w:szCs w:val="36"/>
          <w:lang w:eastAsia="ru-RU"/>
        </w:rPr>
      </w:pPr>
      <w:r>
        <w:rPr>
          <w:rFonts w:ascii="Arial" w:eastAsia="Times New Roman" w:hAnsi="Arial" w:cs="Arial"/>
          <w:color w:val="000000"/>
          <w:kern w:val="36"/>
          <w:sz w:val="36"/>
          <w:szCs w:val="36"/>
          <w:lang w:eastAsia="ru-RU"/>
        </w:rPr>
        <w:t xml:space="preserve">                          МКОУ «Гогазская СОШ»</w:t>
      </w:r>
      <w:r w:rsidRPr="003306A7">
        <w:rPr>
          <w:rFonts w:ascii="Arial" w:eastAsia="Times New Roman" w:hAnsi="Arial" w:cs="Arial"/>
          <w:color w:val="000000"/>
          <w:kern w:val="36"/>
          <w:sz w:val="36"/>
          <w:szCs w:val="36"/>
          <w:lang w:eastAsia="ru-RU"/>
        </w:rPr>
        <w:t xml:space="preserve"> </w:t>
      </w:r>
    </w:p>
    <w:p w:rsidR="003306A7" w:rsidRPr="003306A7" w:rsidRDefault="003306A7" w:rsidP="00DF1146">
      <w:pPr>
        <w:shd w:val="clear" w:color="auto" w:fill="FFFFFF"/>
        <w:spacing w:after="0" w:line="450" w:lineRule="atLeast"/>
        <w:textAlignment w:val="baseline"/>
        <w:outlineLvl w:val="0"/>
        <w:rPr>
          <w:rFonts w:ascii="Arial" w:eastAsia="Times New Roman" w:hAnsi="Arial" w:cs="Arial"/>
          <w:color w:val="000000"/>
          <w:kern w:val="36"/>
          <w:sz w:val="36"/>
          <w:szCs w:val="36"/>
          <w:lang w:eastAsia="ru-RU"/>
        </w:rPr>
      </w:pPr>
      <w:r>
        <w:rPr>
          <w:rFonts w:ascii="Arial" w:eastAsia="Times New Roman" w:hAnsi="Arial" w:cs="Arial"/>
          <w:color w:val="000000"/>
          <w:kern w:val="36"/>
          <w:sz w:val="36"/>
          <w:szCs w:val="36"/>
          <w:lang w:eastAsia="ru-RU"/>
        </w:rPr>
        <w:t xml:space="preserve">                            на 2020 – 2025 годы.</w:t>
      </w:r>
    </w:p>
    <w:p w:rsidR="003306A7" w:rsidRPr="003306A7" w:rsidRDefault="003306A7" w:rsidP="003306A7">
      <w:pPr>
        <w:shd w:val="clear" w:color="auto" w:fill="FFFFFF"/>
        <w:spacing w:before="100" w:beforeAutospacing="1" w:after="300" w:line="360" w:lineRule="atLeast"/>
        <w:jc w:val="right"/>
        <w:textAlignment w:val="baseline"/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</w:pPr>
      <w:r w:rsidRPr="003306A7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Автор  М.Э.Лачинов</w:t>
      </w:r>
    </w:p>
    <w:p w:rsidR="003306A7" w:rsidRPr="003306A7" w:rsidRDefault="003306A7" w:rsidP="00DF1146">
      <w:pPr>
        <w:shd w:val="clear" w:color="auto" w:fill="FFFFFF"/>
        <w:spacing w:before="100" w:beforeAutospacing="1" w:after="300" w:line="360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06A7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Комментарий к приказу Минфина РФ от 29.08.2016 № 142н.</w:t>
      </w:r>
    </w:p>
    <w:p w:rsidR="003306A7" w:rsidRPr="003306A7" w:rsidRDefault="003306A7" w:rsidP="00DF1146">
      <w:pPr>
        <w:shd w:val="clear" w:color="auto" w:fill="FFFFFF"/>
        <w:spacing w:before="100" w:beforeAutospacing="1" w:after="300" w:line="360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06A7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Государственные (муниципальные) бюджетные учреждения, их обособленные (структурные) подразделения без прав юридических лиц, наделенные полномочиями по ведению бухгалтерского учета, составляют планы финансово-хозяйственной деятельности.</w:t>
      </w:r>
    </w:p>
    <w:p w:rsidR="003306A7" w:rsidRPr="003306A7" w:rsidRDefault="003306A7" w:rsidP="00DF1146">
      <w:pPr>
        <w:shd w:val="clear" w:color="auto" w:fill="FFFFFF"/>
        <w:spacing w:before="100" w:beforeAutospacing="1" w:after="300" w:line="360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06A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План составляется на финансовый год в случае, если закон (решение) о бюджете утверждается на один финансовый год, либо на финансовый год и плановый период, если закон (решение) о бюджете утверждается на очередной финансовый год и плановый период. Общие требования к плану установлены Приказом Минфина РФ от 28.07.2010 № 81н (далее – Требования № 81н).</w:t>
      </w:r>
    </w:p>
    <w:p w:rsidR="003306A7" w:rsidRPr="003306A7" w:rsidRDefault="003306A7" w:rsidP="00DF1146">
      <w:pPr>
        <w:shd w:val="clear" w:color="auto" w:fill="FFFFFF"/>
        <w:spacing w:before="100" w:beforeAutospacing="1" w:after="300" w:line="360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3306A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План финансово-хозяйственной деятельности (далее – план) должен составляться бюджетным учреждением по кассовому методу в рублях с точностью до двух знаков после запятой по форме, утвержденной учредителем учреждения с соблюдением положений п. 8 Требований № 81н, содержащей заголовочную, содержательную и оформляющую части.</w:t>
      </w:r>
      <w:proofErr w:type="gramEnd"/>
    </w:p>
    <w:p w:rsidR="00DF1146" w:rsidRDefault="003306A7" w:rsidP="00DF1146">
      <w:pPr>
        <w:shd w:val="clear" w:color="auto" w:fill="FFFFFF"/>
        <w:spacing w:before="100" w:beforeAutospacing="1" w:after="300" w:line="360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06A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Комментируемым Приказом Минфина РФ от 29.08.2016 № 142н «О внесении изменений в Приказ Министерства финансов Российской Федерации от 28 июля 2010 г. № 81н «О Требованиях к плану финансово-хозяйственной деятельности государственного (муниципального) учреждения» (далее – Приказ № 142н) в Требованиях № 81н сделан ряд существенных изменений. Необходимо отметить, что новшества, внесенные Приказом № 142н, должны применяться при формировании плана на 2017 год (на 2017 год и на плановый период 2018 и 2019 годов), за исключением отдельных положений.</w:t>
      </w:r>
    </w:p>
    <w:p w:rsidR="003306A7" w:rsidRPr="003306A7" w:rsidRDefault="003306A7" w:rsidP="00DF1146">
      <w:pPr>
        <w:shd w:val="clear" w:color="auto" w:fill="FFFFFF"/>
        <w:spacing w:before="100" w:beforeAutospacing="1" w:after="300" w:line="360" w:lineRule="atLeast"/>
        <w:jc w:val="both"/>
        <w:textAlignment w:val="baseline"/>
        <w:rPr>
          <w:rFonts w:ascii="inherit" w:eastAsia="Times New Roman" w:hAnsi="inherit" w:cs="Arial"/>
          <w:b/>
          <w:bCs/>
          <w:color w:val="000000"/>
          <w:sz w:val="33"/>
          <w:szCs w:val="33"/>
          <w:lang w:eastAsia="ru-RU"/>
        </w:rPr>
      </w:pPr>
      <w:r w:rsidRPr="003306A7">
        <w:rPr>
          <w:rFonts w:ascii="inherit" w:eastAsia="Times New Roman" w:hAnsi="inherit" w:cs="Arial"/>
          <w:b/>
          <w:bCs/>
          <w:color w:val="000000"/>
          <w:sz w:val="33"/>
          <w:szCs w:val="33"/>
          <w:lang w:eastAsia="ru-RU"/>
        </w:rPr>
        <w:t>Составление табличной части</w:t>
      </w:r>
    </w:p>
    <w:p w:rsidR="003306A7" w:rsidRPr="003306A7" w:rsidRDefault="003306A7" w:rsidP="00DF1146">
      <w:pPr>
        <w:shd w:val="clear" w:color="auto" w:fill="FFFFFF"/>
        <w:spacing w:before="100" w:beforeAutospacing="1" w:after="300" w:line="360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06A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Напомним, что в табличную часть плана включаются следующие таблицы.</w:t>
      </w:r>
    </w:p>
    <w:p w:rsidR="003306A7" w:rsidRPr="003306A7" w:rsidRDefault="003306A7" w:rsidP="00DF1146">
      <w:pPr>
        <w:shd w:val="clear" w:color="auto" w:fill="FFFFFF"/>
        <w:spacing w:before="100" w:beforeAutospacing="1" w:after="300" w:line="360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06A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 «Показатели финансового состояния учреждения (подразделения)». Таблица включает данные о нефинансовых и финансовых активах, обязательствах, принятых на последнюю отчетную дату, предшествующую дате составления плана.</w:t>
      </w:r>
    </w:p>
    <w:p w:rsidR="003306A7" w:rsidRPr="003306A7" w:rsidRDefault="003306A7" w:rsidP="00DF1146">
      <w:pPr>
        <w:shd w:val="clear" w:color="auto" w:fill="FFFFFF"/>
        <w:spacing w:before="100" w:beforeAutospacing="1" w:after="300" w:line="360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06A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 «Показатели по поступлениям и выплатам учреждения (подразделения)».</w:t>
      </w:r>
    </w:p>
    <w:p w:rsidR="003306A7" w:rsidRPr="003306A7" w:rsidRDefault="003306A7" w:rsidP="00DF1146">
      <w:pPr>
        <w:shd w:val="clear" w:color="auto" w:fill="FFFFFF"/>
        <w:spacing w:before="100" w:beforeAutospacing="1" w:after="300" w:line="360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06A7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2.1. «Показатели выплат по расходам на закупку товаров, работ, услуг учреждения (подразделения)».</w:t>
      </w:r>
    </w:p>
    <w:p w:rsidR="003306A7" w:rsidRPr="003306A7" w:rsidRDefault="003306A7" w:rsidP="00DF1146">
      <w:pPr>
        <w:shd w:val="clear" w:color="auto" w:fill="FFFFFF"/>
        <w:spacing w:before="100" w:beforeAutospacing="1" w:after="300" w:line="360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06A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 «Сведения о средствах, поступающих во временное распоряжение учреждения (подразделения)».</w:t>
      </w:r>
    </w:p>
    <w:p w:rsidR="003306A7" w:rsidRPr="003306A7" w:rsidRDefault="003306A7" w:rsidP="00DF1146">
      <w:pPr>
        <w:shd w:val="clear" w:color="auto" w:fill="FFFFFF"/>
        <w:spacing w:before="100" w:beforeAutospacing="1" w:after="300" w:line="360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06A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 «Справочная информация».</w:t>
      </w:r>
    </w:p>
    <w:p w:rsidR="003306A7" w:rsidRPr="003306A7" w:rsidRDefault="003306A7" w:rsidP="00DF1146">
      <w:pPr>
        <w:shd w:val="clear" w:color="auto" w:fill="FFFFFF"/>
        <w:spacing w:before="100" w:beforeAutospacing="1" w:after="300" w:line="360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06A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 табличной части плана может отражаться иная информация по решению органа, осуществляющего функции и полномочия учредителя, с соблюдением структуры (в том числе строк и граф) табличной части и дополнением (при необходимости) иными строками и графами.</w:t>
      </w:r>
    </w:p>
    <w:p w:rsidR="003306A7" w:rsidRPr="003306A7" w:rsidRDefault="003306A7" w:rsidP="00DF1146">
      <w:pPr>
        <w:shd w:val="clear" w:color="auto" w:fill="FFFFFF"/>
        <w:spacing w:before="100" w:beforeAutospacing="1" w:after="300" w:line="360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06A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Согласно внесенным изменениям таблица 2 «Показатели по поступлениям и выплатам учреждения (подразделения)» формируется учреждением в разрезе:</w:t>
      </w:r>
    </w:p>
    <w:p w:rsidR="003306A7" w:rsidRPr="003306A7" w:rsidRDefault="003306A7" w:rsidP="00DF1146">
      <w:pPr>
        <w:numPr>
          <w:ilvl w:val="0"/>
          <w:numId w:val="1"/>
        </w:numPr>
        <w:shd w:val="clear" w:color="auto" w:fill="FFFFFF"/>
        <w:spacing w:after="0" w:line="330" w:lineRule="atLeast"/>
        <w:ind w:left="675"/>
        <w:jc w:val="both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3306A7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субсидии на финансовое обеспечение выполнения государственного (муниципального) задания из федерального бюджета, бюджета субъекта РФ (местного бюджета);</w:t>
      </w:r>
    </w:p>
    <w:p w:rsidR="003306A7" w:rsidRPr="003306A7" w:rsidRDefault="003306A7" w:rsidP="00DF1146">
      <w:pPr>
        <w:numPr>
          <w:ilvl w:val="0"/>
          <w:numId w:val="1"/>
        </w:numPr>
        <w:shd w:val="clear" w:color="auto" w:fill="FFFFFF"/>
        <w:spacing w:after="0" w:line="330" w:lineRule="atLeast"/>
        <w:ind w:left="675"/>
        <w:jc w:val="both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3306A7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субсидии на финансовое обеспечение выполнения государственного задания из бюджета Федерального фонда обязательного медицинского страхования;</w:t>
      </w:r>
    </w:p>
    <w:p w:rsidR="003306A7" w:rsidRPr="003306A7" w:rsidRDefault="003306A7" w:rsidP="00DF1146">
      <w:pPr>
        <w:numPr>
          <w:ilvl w:val="0"/>
          <w:numId w:val="1"/>
        </w:numPr>
        <w:shd w:val="clear" w:color="auto" w:fill="FFFFFF"/>
        <w:spacing w:after="0" w:line="330" w:lineRule="atLeast"/>
        <w:ind w:left="675"/>
        <w:jc w:val="both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3306A7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субсидий на иные цели;</w:t>
      </w:r>
    </w:p>
    <w:p w:rsidR="003306A7" w:rsidRPr="003306A7" w:rsidRDefault="003306A7" w:rsidP="00DF1146">
      <w:pPr>
        <w:numPr>
          <w:ilvl w:val="0"/>
          <w:numId w:val="1"/>
        </w:numPr>
        <w:shd w:val="clear" w:color="auto" w:fill="FFFFFF"/>
        <w:spacing w:after="0" w:line="330" w:lineRule="atLeast"/>
        <w:ind w:left="675"/>
        <w:jc w:val="both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3306A7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субсидий на осуществление капитальных вложений в объекты капитального строительства государственной (муниципальной) собственности или приобретение объектов недвижимого имущества в государственную (муниципальную) собственность;</w:t>
      </w:r>
    </w:p>
    <w:p w:rsidR="003306A7" w:rsidRPr="003306A7" w:rsidRDefault="003306A7" w:rsidP="00DF1146">
      <w:pPr>
        <w:numPr>
          <w:ilvl w:val="0"/>
          <w:numId w:val="1"/>
        </w:numPr>
        <w:shd w:val="clear" w:color="auto" w:fill="FFFFFF"/>
        <w:spacing w:after="0" w:line="330" w:lineRule="atLeast"/>
        <w:ind w:left="675"/>
        <w:jc w:val="both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3306A7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грантов в форме субсидий, в том числе предоставляемых по результатам конкурсов;</w:t>
      </w:r>
    </w:p>
    <w:p w:rsidR="003306A7" w:rsidRPr="003306A7" w:rsidRDefault="003306A7" w:rsidP="00DF1146">
      <w:pPr>
        <w:numPr>
          <w:ilvl w:val="0"/>
          <w:numId w:val="1"/>
        </w:numPr>
        <w:shd w:val="clear" w:color="auto" w:fill="FFFFFF"/>
        <w:spacing w:after="0" w:line="330" w:lineRule="atLeast"/>
        <w:ind w:left="675"/>
        <w:jc w:val="both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3306A7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поступлений от оказания услуг (выполнения работ) на платной основе и от иной приносящей доход деятельности;</w:t>
      </w:r>
    </w:p>
    <w:p w:rsidR="003306A7" w:rsidRPr="003306A7" w:rsidRDefault="003306A7" w:rsidP="00DF1146">
      <w:pPr>
        <w:numPr>
          <w:ilvl w:val="0"/>
          <w:numId w:val="1"/>
        </w:numPr>
        <w:shd w:val="clear" w:color="auto" w:fill="FFFFFF"/>
        <w:spacing w:after="0" w:line="330" w:lineRule="atLeast"/>
        <w:ind w:left="675"/>
        <w:jc w:val="both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3306A7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поступлений от реализации ценных бумаг (в случаях, установленных федеральными законами).</w:t>
      </w:r>
    </w:p>
    <w:p w:rsidR="003306A7" w:rsidRPr="003306A7" w:rsidRDefault="003306A7" w:rsidP="00DF1146">
      <w:pPr>
        <w:shd w:val="clear" w:color="auto" w:fill="FFFFFF"/>
        <w:spacing w:before="100" w:beforeAutospacing="1" w:after="300" w:line="360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3306A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Справочно</w:t>
      </w:r>
      <w:proofErr w:type="spellEnd"/>
      <w:r w:rsidRPr="003306A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указываются суммы публичных нормативных обязательств, </w:t>
      </w:r>
      <w:proofErr w:type="gramStart"/>
      <w:r w:rsidRPr="003306A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полномочия</w:t>
      </w:r>
      <w:proofErr w:type="gramEnd"/>
      <w:r w:rsidRPr="003306A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по исполнению которых от имени органа государственной власти (государственного органа), органа местного самоуправления в установленном порядке переданы учреждению, бюджетных инвестиций (в части переданных в соответствии с БК РФ полномочий государственного (муниципального) заказчика), а также сведения о средствах во временном распоряжении учреждения при принятии органом, осуществляющим функции и по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лномочия учредителя учреждения</w:t>
      </w:r>
    </w:p>
    <w:p w:rsidR="003306A7" w:rsidRPr="003306A7" w:rsidRDefault="003306A7" w:rsidP="00DF1146">
      <w:pPr>
        <w:shd w:val="clear" w:color="auto" w:fill="FFFFFF"/>
        <w:spacing w:before="100" w:beforeAutospacing="1" w:after="300" w:line="360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06A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*Применяется пр</w:t>
      </w:r>
      <w:r w:rsidR="00DF114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 формировании плана ФХД на 2020</w:t>
      </w:r>
      <w:r w:rsidRPr="003306A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DF114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год</w:t>
      </w:r>
      <w:r w:rsidRPr="003306A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Причем учредителю предоставлено право </w:t>
      </w:r>
      <w:proofErr w:type="gramStart"/>
      <w:r w:rsidRPr="003306A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внести</w:t>
      </w:r>
      <w:proofErr w:type="gramEnd"/>
      <w:r w:rsidRPr="003306A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эту графу в рекомендуемую для своих подведомственных учреждений форму плана финансово-хозяйственной деят</w:t>
      </w:r>
      <w:r w:rsidR="00DF114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ельности начиная с плана на 2019</w:t>
      </w:r>
      <w:r w:rsidRPr="003306A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год.</w:t>
      </w:r>
    </w:p>
    <w:p w:rsidR="003306A7" w:rsidRPr="003306A7" w:rsidRDefault="003306A7" w:rsidP="00DF1146">
      <w:pPr>
        <w:shd w:val="clear" w:color="auto" w:fill="FFFFFF"/>
        <w:spacing w:before="100" w:beforeAutospacing="1" w:after="300" w:line="360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3306A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Согласно изменениям в п. 8.1 Требований № 81н при заполнении строки 120 в графе 10 отражаются плановые показатели по доходам от грантов, предоставление которых </w:t>
      </w:r>
      <w:r w:rsidRPr="003306A7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из соответствующего бюджета бюджетной системы РФ осуществляется по кодам 613 «Гранты в форме субсидии бюджетным учреждениям» или 623 «Гранты в форме субсидии автономным учреждениям» видов расходов бюджетов, а также грантов, предоставляемых физическими и юридическими лицами, в том</w:t>
      </w:r>
      <w:proofErr w:type="gramEnd"/>
      <w:r w:rsidRPr="003306A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gramStart"/>
      <w:r w:rsidRPr="003306A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числе</w:t>
      </w:r>
      <w:proofErr w:type="gramEnd"/>
      <w:r w:rsidRPr="003306A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международными организациями и правительствами иностранных государств.</w:t>
      </w:r>
    </w:p>
    <w:p w:rsidR="003306A7" w:rsidRPr="003306A7" w:rsidRDefault="003306A7" w:rsidP="00DF1146">
      <w:pPr>
        <w:shd w:val="clear" w:color="auto" w:fill="FFFFFF"/>
        <w:spacing w:before="450" w:after="300" w:line="312" w:lineRule="atLeast"/>
        <w:jc w:val="both"/>
        <w:textAlignment w:val="baseline"/>
        <w:outlineLvl w:val="1"/>
        <w:rPr>
          <w:rFonts w:ascii="inherit" w:eastAsia="Times New Roman" w:hAnsi="inherit" w:cs="Arial"/>
          <w:b/>
          <w:bCs/>
          <w:color w:val="000000"/>
          <w:sz w:val="33"/>
          <w:szCs w:val="33"/>
          <w:lang w:eastAsia="ru-RU"/>
        </w:rPr>
      </w:pPr>
      <w:r w:rsidRPr="003306A7">
        <w:rPr>
          <w:rFonts w:ascii="inherit" w:eastAsia="Times New Roman" w:hAnsi="inherit" w:cs="Arial"/>
          <w:b/>
          <w:bCs/>
          <w:color w:val="000000"/>
          <w:sz w:val="33"/>
          <w:szCs w:val="33"/>
          <w:lang w:eastAsia="ru-RU"/>
        </w:rPr>
        <w:t>Расчеты (обоснования) направления расходования сре</w:t>
      </w:r>
      <w:proofErr w:type="gramStart"/>
      <w:r w:rsidRPr="003306A7">
        <w:rPr>
          <w:rFonts w:ascii="inherit" w:eastAsia="Times New Roman" w:hAnsi="inherit" w:cs="Arial"/>
          <w:b/>
          <w:bCs/>
          <w:color w:val="000000"/>
          <w:sz w:val="33"/>
          <w:szCs w:val="33"/>
          <w:lang w:eastAsia="ru-RU"/>
        </w:rPr>
        <w:t>дств в р</w:t>
      </w:r>
      <w:proofErr w:type="gramEnd"/>
      <w:r w:rsidRPr="003306A7">
        <w:rPr>
          <w:rFonts w:ascii="inherit" w:eastAsia="Times New Roman" w:hAnsi="inherit" w:cs="Arial"/>
          <w:b/>
          <w:bCs/>
          <w:color w:val="000000"/>
          <w:sz w:val="33"/>
          <w:szCs w:val="33"/>
          <w:lang w:eastAsia="ru-RU"/>
        </w:rPr>
        <w:t>асчетном периоде.</w:t>
      </w:r>
    </w:p>
    <w:p w:rsidR="003306A7" w:rsidRPr="003306A7" w:rsidRDefault="003306A7" w:rsidP="00DF1146">
      <w:pPr>
        <w:shd w:val="clear" w:color="auto" w:fill="FFFFFF"/>
        <w:spacing w:before="100" w:beforeAutospacing="1" w:after="300" w:line="360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3306A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Изменения, внесенные Приказом № 142н, предусматривают введение обязательного требования прилагать к представляемому учреждением на утверждение органа исполнительной власти, выполняющему функции учредителя, проекту плана расчетные таблицы, содержащие обоснование направления расходования средств в расчетном периоде.</w:t>
      </w:r>
      <w:proofErr w:type="gramEnd"/>
      <w:r w:rsidRPr="003306A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Рекомендуемый образец форм расчетных таблиц приведен в приложении к Приказу № 142н.</w:t>
      </w:r>
    </w:p>
    <w:p w:rsidR="003306A7" w:rsidRPr="003306A7" w:rsidRDefault="003306A7" w:rsidP="00DF1146">
      <w:pPr>
        <w:shd w:val="clear" w:color="auto" w:fill="FFFFFF"/>
        <w:spacing w:before="100" w:beforeAutospacing="1" w:after="300" w:line="360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06A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Согласно новой редакции п. 11 Требований № 81н к представляемому на утверждение проекту плана прилагаются расчеты (обоснования) плановых показателей по выплатам, использованные при формировании плана, являющиеся справочной информацией к нему.</w:t>
      </w:r>
    </w:p>
    <w:p w:rsidR="003306A7" w:rsidRPr="003306A7" w:rsidRDefault="003306A7" w:rsidP="00DF1146">
      <w:pPr>
        <w:shd w:val="clear" w:color="auto" w:fill="FFFFFF"/>
        <w:spacing w:before="100" w:beforeAutospacing="1" w:after="300" w:line="360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3306A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Необходимо отметить, что формы таблиц, приведенные в приложении 2 к Приказу № 142н, носят рекомендательный характер и при необходимости могут быть изменены (с соблюдением структуры, в том числе строк и граф таблицы) и дополнены иными графами, строками, а также дополнительными реквизитами и показателями, в том числе кодами показателей по соответствующим классификаторам технико-экономической и социальной информации.</w:t>
      </w:r>
      <w:proofErr w:type="gramEnd"/>
      <w:r w:rsidRPr="003306A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Учреждение вправе применять дополнительные расчеты (обоснования) показателей, отраженных в таблицах в приложении 2 к Приказу № 142н, в соответствии с разработанными им дополнительными таблицами.</w:t>
      </w:r>
    </w:p>
    <w:p w:rsidR="003306A7" w:rsidRPr="003306A7" w:rsidRDefault="003306A7" w:rsidP="00DF1146">
      <w:pPr>
        <w:shd w:val="clear" w:color="auto" w:fill="FFFFFF"/>
        <w:spacing w:before="100" w:beforeAutospacing="1" w:after="300" w:line="360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06A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Если согласно структуре затрат отдельные виды выплат учреждением не осуществляются, то соответствующие расчеты (обоснования) к показателям плана не формируются.</w:t>
      </w:r>
    </w:p>
    <w:p w:rsidR="003306A7" w:rsidRPr="003306A7" w:rsidRDefault="003306A7" w:rsidP="00DF1146">
      <w:pPr>
        <w:shd w:val="clear" w:color="auto" w:fill="FFFFFF"/>
        <w:spacing w:before="100" w:beforeAutospacing="1" w:after="300" w:line="360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06A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Расчеты (обоснования) плановых показателей по выплатам формируются с учетом норм трудовых, материальных, технических ресурсов, используемых для оказания учреждением (подразделением) услуг (выполнения работ).</w:t>
      </w:r>
    </w:p>
    <w:p w:rsidR="003306A7" w:rsidRPr="003306A7" w:rsidRDefault="003306A7" w:rsidP="00DF1146">
      <w:pPr>
        <w:shd w:val="clear" w:color="auto" w:fill="FFFFFF"/>
        <w:spacing w:before="100" w:beforeAutospacing="1" w:after="300" w:line="360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3306A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Расчеты (обоснования) плановых показателей по выплатам за счет субсидий, предоставляемых в соответствии с бюджетным законодательством РФ, осуществляются с учетом затрат, применяемых при обосновании бюджетных ассигнований главными распорядителями бюджетных средств в целях формирования проекта закона (решения) о бюджете на очередной финансовый год и плановый период, а также с учетом требований, установленных нормативными правовыми актами, в том числе ГОСТ, </w:t>
      </w:r>
      <w:proofErr w:type="spellStart"/>
      <w:r w:rsidRPr="003306A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СНиП</w:t>
      </w:r>
      <w:proofErr w:type="spellEnd"/>
      <w:r w:rsidRPr="003306A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3306A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СанПиН</w:t>
      </w:r>
      <w:proofErr w:type="spellEnd"/>
      <w:r w:rsidRPr="003306A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r w:rsidRPr="003306A7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стандартами</w:t>
      </w:r>
      <w:proofErr w:type="gramEnd"/>
      <w:r w:rsidRPr="003306A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порядками и регламентами (паспортами) оказания государственной (муниципальной) услуги.</w:t>
      </w:r>
    </w:p>
    <w:p w:rsidR="003306A7" w:rsidRPr="003306A7" w:rsidRDefault="003306A7" w:rsidP="00DF1146">
      <w:pPr>
        <w:shd w:val="clear" w:color="auto" w:fill="FFFFFF"/>
        <w:spacing w:before="100" w:beforeAutospacing="1" w:after="300" w:line="360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06A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Расчеты (обоснования) плановых показателей по выплатам должны формироваться раздельно по источникам их финансового обеспечения в случае принятия органом, осуществляющим функции и полномочия учредителя, решения о планировании выплат по соответствующим расходам (по строкам 210 – 250 в графах 5 – 10) раздельно по источникам их финансового обеспечения.</w:t>
      </w:r>
    </w:p>
    <w:p w:rsidR="003306A7" w:rsidRPr="003306A7" w:rsidRDefault="003306A7" w:rsidP="00DF1146">
      <w:pPr>
        <w:shd w:val="clear" w:color="auto" w:fill="FFFFFF"/>
        <w:spacing w:before="100" w:beforeAutospacing="1" w:after="300" w:line="360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06A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Расчеты (обоснования) плановых показателей по выплатам, использованные при формировании плана ФХД, должны включать в себя следующее.</w:t>
      </w:r>
    </w:p>
    <w:p w:rsidR="003306A7" w:rsidRPr="003306A7" w:rsidRDefault="003306A7" w:rsidP="00DF1146">
      <w:pPr>
        <w:shd w:val="clear" w:color="auto" w:fill="FFFFFF"/>
        <w:spacing w:before="100" w:beforeAutospacing="1" w:after="300" w:line="360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06A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 Расчет (обоснование) выплат персоналу (строка 210 таблицы 2 плана ФХД). В свою очередь, указанный расчет должен включать в себя расчеты (обоснования):</w:t>
      </w:r>
    </w:p>
    <w:p w:rsidR="003306A7" w:rsidRPr="003306A7" w:rsidRDefault="003306A7" w:rsidP="00DF1146">
      <w:pPr>
        <w:numPr>
          <w:ilvl w:val="0"/>
          <w:numId w:val="2"/>
        </w:numPr>
        <w:shd w:val="clear" w:color="auto" w:fill="FFFFFF"/>
        <w:spacing w:after="0" w:line="330" w:lineRule="atLeast"/>
        <w:ind w:left="675"/>
        <w:jc w:val="both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3306A7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расходов на оплату труда. </w:t>
      </w:r>
      <w:proofErr w:type="gramStart"/>
      <w:r w:rsidRPr="003306A7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При расчете плановых показателей по оплате труда учитывается расчетная численность работников, включая основной, вспомогательный, административно-управленческий, обслуживающий персонал, расчетные должностные оклады, ежемесячные надбавки к должностному окладу, районные коэффициенты, стимулирующие выплаты, компенсационные выплаты, в том числе за работу с вредными и (или) опасными условиями труда, при выполнении работ в других условиях, отклоняющихся от нормальных, а также иные выплаты, предусмотренные законодательством РФ, локальными</w:t>
      </w:r>
      <w:proofErr w:type="gramEnd"/>
      <w:r w:rsidRPr="003306A7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нормативными актами учреждения в соответствии с утвержденным штатным расписанием, а также индексация указанных выплат;</w:t>
      </w:r>
    </w:p>
    <w:p w:rsidR="003306A7" w:rsidRPr="003306A7" w:rsidRDefault="003306A7" w:rsidP="00DF1146">
      <w:pPr>
        <w:numPr>
          <w:ilvl w:val="0"/>
          <w:numId w:val="2"/>
        </w:numPr>
        <w:shd w:val="clear" w:color="auto" w:fill="FFFFFF"/>
        <w:spacing w:after="0" w:line="330" w:lineRule="atLeast"/>
        <w:ind w:left="675"/>
        <w:jc w:val="both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3306A7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выплат персоналу при направлении в командировки. </w:t>
      </w:r>
      <w:proofErr w:type="gramStart"/>
      <w:r w:rsidRPr="003306A7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При расчете плановых показателей выплат компенсационного характера персоналу учреждений, не включаемых в фонд оплаты труда, учитываются выплаты по возмещению работникам (сотрудникам) расходов, связанных со служебными командировками, возмещению расходов на прохождение медицинского осмотра, компенсации расходов на оплату стоимости проезда и провоза багажа к месту использования отпуска и обратно для лиц, работающих в районах Крайнего Севера и приравненных к ним местностях, и</w:t>
      </w:r>
      <w:proofErr w:type="gramEnd"/>
      <w:r w:rsidRPr="003306A7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 членов их семей, иные компенсационные выплаты работникам, предусмотренные законодательством РФ, локальными нормативными актами учреждения;</w:t>
      </w:r>
    </w:p>
    <w:p w:rsidR="003306A7" w:rsidRPr="003306A7" w:rsidRDefault="003306A7" w:rsidP="00DF1146">
      <w:pPr>
        <w:numPr>
          <w:ilvl w:val="0"/>
          <w:numId w:val="2"/>
        </w:numPr>
        <w:shd w:val="clear" w:color="auto" w:fill="FFFFFF"/>
        <w:spacing w:after="0" w:line="330" w:lineRule="atLeast"/>
        <w:ind w:left="675"/>
        <w:jc w:val="both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3306A7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выплат персоналу по уходу за ребенком;</w:t>
      </w:r>
    </w:p>
    <w:p w:rsidR="003306A7" w:rsidRPr="003306A7" w:rsidRDefault="003306A7" w:rsidP="00DF1146">
      <w:pPr>
        <w:numPr>
          <w:ilvl w:val="0"/>
          <w:numId w:val="2"/>
        </w:numPr>
        <w:shd w:val="clear" w:color="auto" w:fill="FFFFFF"/>
        <w:spacing w:after="0" w:line="330" w:lineRule="atLeast"/>
        <w:ind w:left="675"/>
        <w:jc w:val="both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3306A7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взносов на обязательное страхование в ПФР, ФСС, ФФОМС. При расчете плановых показателей страховых взносов в ПФР, ФСС, ФФОМС учитываются тарифы таких взносов, установленные законодательством РФ.</w:t>
      </w:r>
    </w:p>
    <w:p w:rsidR="003306A7" w:rsidRPr="003306A7" w:rsidRDefault="003306A7" w:rsidP="00DF1146">
      <w:pPr>
        <w:shd w:val="clear" w:color="auto" w:fill="FFFFFF"/>
        <w:spacing w:before="100" w:beforeAutospacing="1" w:after="300" w:line="360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06A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2. Расчет (обоснование) расходов на социальные и иные выплаты населению (строка 220 таблицы 2 плана ФХД). </w:t>
      </w:r>
      <w:proofErr w:type="gramStart"/>
      <w:r w:rsidRPr="003306A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 данном расчете отражаются выплаты, не связанные с выплатами работникам, возникающими в рамках трудовых отношений (расходы по социальному обеспечению населения вне рамок систем государственного пенсионного, социального, медицинского страхования), в том числе на оплату медицинского обслуживания, путевок на санаторно-курортное лечение и в детские оздоровительные лагеря, а также выплаты </w:t>
      </w:r>
      <w:r w:rsidRPr="003306A7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бывшим работникам учреждений, в том числе к памятным датам, профессиональным праздникам, с учетом</w:t>
      </w:r>
      <w:proofErr w:type="gramEnd"/>
      <w:r w:rsidRPr="003306A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количества планируемых выплат в год и их размера.</w:t>
      </w:r>
    </w:p>
    <w:p w:rsidR="003306A7" w:rsidRPr="003306A7" w:rsidRDefault="003306A7" w:rsidP="00DF1146">
      <w:pPr>
        <w:shd w:val="clear" w:color="auto" w:fill="FFFFFF"/>
        <w:spacing w:before="100" w:beforeAutospacing="1" w:after="300" w:line="360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06A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 Расчет (обоснование) расходов на уплату налогов, сборов и иных платежей (строка 230 таблицы 2 плана ФХД). Заполнение данного расчета должно осуществляться с учетом объекта налогообложения, особенностей определения налоговой базы, налоговых льгот, оснований и порядка их применения, а также налоговой ставки, порядка и сроков уплаты по каждому налогу в соответствии с законодательством РФ о налогах и сборах. Указанный расчет заполняется в разрезе:</w:t>
      </w:r>
    </w:p>
    <w:p w:rsidR="003306A7" w:rsidRPr="003306A7" w:rsidRDefault="003306A7" w:rsidP="00DF1146">
      <w:pPr>
        <w:numPr>
          <w:ilvl w:val="0"/>
          <w:numId w:val="3"/>
        </w:numPr>
        <w:shd w:val="clear" w:color="auto" w:fill="FFFFFF"/>
        <w:spacing w:after="0" w:line="330" w:lineRule="atLeast"/>
        <w:ind w:left="675"/>
        <w:jc w:val="both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3306A7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налога на имущество организаций;</w:t>
      </w:r>
    </w:p>
    <w:p w:rsidR="003306A7" w:rsidRPr="003306A7" w:rsidRDefault="003306A7" w:rsidP="00DF1146">
      <w:pPr>
        <w:numPr>
          <w:ilvl w:val="0"/>
          <w:numId w:val="3"/>
        </w:numPr>
        <w:shd w:val="clear" w:color="auto" w:fill="FFFFFF"/>
        <w:spacing w:after="0" w:line="330" w:lineRule="atLeast"/>
        <w:ind w:left="675"/>
        <w:jc w:val="both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3306A7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земельного налога;</w:t>
      </w:r>
    </w:p>
    <w:p w:rsidR="003306A7" w:rsidRPr="003306A7" w:rsidRDefault="003306A7" w:rsidP="00DF1146">
      <w:pPr>
        <w:numPr>
          <w:ilvl w:val="0"/>
          <w:numId w:val="3"/>
        </w:numPr>
        <w:shd w:val="clear" w:color="auto" w:fill="FFFFFF"/>
        <w:spacing w:after="0" w:line="330" w:lineRule="atLeast"/>
        <w:ind w:left="675"/>
        <w:jc w:val="both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3306A7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прочих налогов и сборов.</w:t>
      </w:r>
    </w:p>
    <w:p w:rsidR="003306A7" w:rsidRPr="003306A7" w:rsidRDefault="003306A7" w:rsidP="00DF1146">
      <w:pPr>
        <w:shd w:val="clear" w:color="auto" w:fill="FFFFFF"/>
        <w:spacing w:before="100" w:beforeAutospacing="1" w:after="300" w:line="360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06A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 Расчет (обоснование) расходов на безвозмездные перечисления организациям (строка 240 таблицы 2 плана ФХД) осуществляется с учетом количества планируемых безвозмездных перечислений организациям в год и их размера.</w:t>
      </w:r>
    </w:p>
    <w:p w:rsidR="003306A7" w:rsidRPr="003306A7" w:rsidRDefault="003306A7" w:rsidP="00DF1146">
      <w:pPr>
        <w:shd w:val="clear" w:color="auto" w:fill="FFFFFF"/>
        <w:spacing w:before="100" w:beforeAutospacing="1" w:after="300" w:line="360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06A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 Расчет (обоснование) прочих расходов (кроме расходов на закупку товаров, работ, услуг) (строка 250 таблицы 2) осуществляется по видам выплат с учетом количества планируемых выплат в год и их размера. В данном расчете отражаются расходы по выплатам стипендий учащимся, студентам, аспирантам, ученым с учетом количества планируемых выплат в год и их размера по видам выплат.</w:t>
      </w:r>
    </w:p>
    <w:p w:rsidR="003306A7" w:rsidRPr="003306A7" w:rsidRDefault="003306A7" w:rsidP="00DF1146">
      <w:pPr>
        <w:shd w:val="clear" w:color="auto" w:fill="FFFFFF"/>
        <w:spacing w:before="100" w:beforeAutospacing="1" w:after="300" w:line="360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06A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6. Расчет (обоснование) расходов на закупку товаров, работ, услуг. В данный расчет (строка 260 таблицы 2) включаются расходы на оплату:</w:t>
      </w:r>
    </w:p>
    <w:p w:rsidR="003306A7" w:rsidRPr="003306A7" w:rsidRDefault="003306A7" w:rsidP="00DF1146">
      <w:pPr>
        <w:numPr>
          <w:ilvl w:val="0"/>
          <w:numId w:val="4"/>
        </w:numPr>
        <w:shd w:val="clear" w:color="auto" w:fill="FFFFFF"/>
        <w:spacing w:after="0" w:line="330" w:lineRule="atLeast"/>
        <w:ind w:left="675"/>
        <w:jc w:val="both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3306A7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услуг связи. </w:t>
      </w:r>
      <w:proofErr w:type="gramStart"/>
      <w:r w:rsidRPr="003306A7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Расчет плановых показателей на оплату услуг связи должен учитывать количество абонентских номеров, подключенных к сети связи, цены услуг связи, ежемесячную абонентскую плату в расчете на один абонентский номер, количество месяцев предоставления услуги, размер повременной оплаты междугородных, международных и местных телефонных соединений, а также стоимость услуг при повременной оплате услуг телефонной связи, количество пересылаемой корреспонденции, в том числе с использованием фельдъегерской</w:t>
      </w:r>
      <w:proofErr w:type="gramEnd"/>
      <w:r w:rsidRPr="003306A7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и специальной связи, стоимость пересылки почтовой корреспонденции за единицу услуги, стоимость аренды интернет-канала, повременная плата за интернет-услуги или оплата </w:t>
      </w:r>
      <w:proofErr w:type="spellStart"/>
      <w:proofErr w:type="gramStart"/>
      <w:r w:rsidRPr="003306A7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интернет-трафика</w:t>
      </w:r>
      <w:proofErr w:type="spellEnd"/>
      <w:proofErr w:type="gramEnd"/>
      <w:r w:rsidRPr="003306A7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;</w:t>
      </w:r>
    </w:p>
    <w:p w:rsidR="003306A7" w:rsidRPr="003306A7" w:rsidRDefault="003306A7" w:rsidP="00DF1146">
      <w:pPr>
        <w:numPr>
          <w:ilvl w:val="0"/>
          <w:numId w:val="4"/>
        </w:numPr>
        <w:shd w:val="clear" w:color="auto" w:fill="FFFFFF"/>
        <w:spacing w:after="0" w:line="330" w:lineRule="atLeast"/>
        <w:ind w:left="675"/>
        <w:jc w:val="both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3306A7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транспортных услуг. Расчет (обоснование) плановых показателей по оплате транспортных услуг осуществляется с учетом видов услуг по перевозке (транспортировке) грузов, пассажирских перевозок (количества заключенных договоров) и стоимости указанных услуг;</w:t>
      </w:r>
    </w:p>
    <w:p w:rsidR="003306A7" w:rsidRPr="003306A7" w:rsidRDefault="003306A7" w:rsidP="00DF1146">
      <w:pPr>
        <w:numPr>
          <w:ilvl w:val="0"/>
          <w:numId w:val="4"/>
        </w:numPr>
        <w:shd w:val="clear" w:color="auto" w:fill="FFFFFF"/>
        <w:spacing w:after="0" w:line="330" w:lineRule="atLeast"/>
        <w:ind w:left="675"/>
        <w:jc w:val="both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3306A7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коммунальных услуг. </w:t>
      </w:r>
      <w:proofErr w:type="gramStart"/>
      <w:r w:rsidRPr="003306A7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Расчет (обоснование) плановых показателей по оплате коммунальных услуг включает в себя расчеты расходов на газоснабжение (иные виды топлива), на </w:t>
      </w:r>
      <w:proofErr w:type="spellStart"/>
      <w:r w:rsidRPr="003306A7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электро</w:t>
      </w:r>
      <w:proofErr w:type="spellEnd"/>
      <w:r w:rsidRPr="003306A7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-, теплоснабжение, горячее, холодное водоснабжение и водоотведение с учетом количества заключенных договоров о предоставлении коммунальных услуг, объектов, тарифов на оказание коммунальных услуг (в том числе с учетом применяемого </w:t>
      </w:r>
      <w:proofErr w:type="spellStart"/>
      <w:r w:rsidRPr="003306A7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одноставочного</w:t>
      </w:r>
      <w:proofErr w:type="spellEnd"/>
      <w:r w:rsidRPr="003306A7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, дифференцированного по зонам суток или </w:t>
      </w:r>
      <w:proofErr w:type="spellStart"/>
      <w:r w:rsidRPr="003306A7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двуставочного</w:t>
      </w:r>
      <w:proofErr w:type="spellEnd"/>
      <w:r w:rsidRPr="003306A7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тарифа на электроэнергию), </w:t>
      </w:r>
      <w:r w:rsidRPr="003306A7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lastRenderedPageBreak/>
        <w:t>расчетной потребности планового</w:t>
      </w:r>
      <w:proofErr w:type="gramEnd"/>
      <w:r w:rsidRPr="003306A7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потребления услуг и затраты на транспортировку топлива (при наличии);</w:t>
      </w:r>
    </w:p>
    <w:p w:rsidR="003306A7" w:rsidRPr="003306A7" w:rsidRDefault="003306A7" w:rsidP="00DF1146">
      <w:pPr>
        <w:numPr>
          <w:ilvl w:val="0"/>
          <w:numId w:val="4"/>
        </w:numPr>
        <w:shd w:val="clear" w:color="auto" w:fill="FFFFFF"/>
        <w:spacing w:after="0" w:line="330" w:lineRule="atLeast"/>
        <w:ind w:left="675"/>
        <w:jc w:val="both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3306A7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аренды имущества. </w:t>
      </w:r>
      <w:proofErr w:type="gramStart"/>
      <w:r w:rsidRPr="003306A7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Расчеты (обоснования) расходов на оплату аренды имущества, в том числе объектов недвижимого имущества, осуществляются с учетом арендуемой площади (количества арендуемого оборудования, иного имущества), количества месяцев (суток, часов) аренды, цены аренды в месяц (сутки, час), а также стоимости возмещаемых услуг (по содержанию имущества, его охране, потребляемых коммунальных услуг);</w:t>
      </w:r>
      <w:proofErr w:type="gramEnd"/>
    </w:p>
    <w:p w:rsidR="003306A7" w:rsidRPr="003306A7" w:rsidRDefault="003306A7" w:rsidP="00DF1146">
      <w:pPr>
        <w:numPr>
          <w:ilvl w:val="0"/>
          <w:numId w:val="4"/>
        </w:numPr>
        <w:shd w:val="clear" w:color="auto" w:fill="FFFFFF"/>
        <w:spacing w:after="0" w:line="330" w:lineRule="atLeast"/>
        <w:ind w:left="675"/>
        <w:jc w:val="both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3306A7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содержания имущества. </w:t>
      </w:r>
      <w:proofErr w:type="gramStart"/>
      <w:r w:rsidRPr="003306A7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Расчеты (обоснования) расходов на содержание имущества осуществляются с учетом планов ремонтных работ и их сметной стоимости, определенной с учетом необходимого объема ремонтных работ, графика </w:t>
      </w:r>
      <w:proofErr w:type="spellStart"/>
      <w:r w:rsidRPr="003306A7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регламентно-профилактических</w:t>
      </w:r>
      <w:proofErr w:type="spellEnd"/>
      <w:r w:rsidRPr="003306A7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работ по ремонту оборудования, требований к санитарно-гигиеническому обслуживанию, охране труда (включая уборку помещений и территории, вывоз твердых бытовых отходов, мойку, химическую чистку, дезинфекцию, дезинсекцию), а также правил его эксплуатации для оказания государственной (муниципальной) услуги;</w:t>
      </w:r>
      <w:proofErr w:type="gramEnd"/>
    </w:p>
    <w:p w:rsidR="003306A7" w:rsidRPr="003306A7" w:rsidRDefault="003306A7" w:rsidP="00DF1146">
      <w:pPr>
        <w:numPr>
          <w:ilvl w:val="0"/>
          <w:numId w:val="4"/>
        </w:numPr>
        <w:shd w:val="clear" w:color="auto" w:fill="FFFFFF"/>
        <w:spacing w:after="0" w:line="330" w:lineRule="atLeast"/>
        <w:ind w:left="675"/>
        <w:jc w:val="both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3306A7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прочих работ и услуг. Указанные расчеты (обоснования) должны включать в себя расчеты необходимых выплат на страхование, в том числе на обязательное страхование гражданской ответственности владельцев транспортных средств, типографские услуги, информационные услуги с учетом количества печатных изданий, количества подаваемых объявлений, количества приобретаемых бланков строгой отчетности, приобретаемых периодических изданий. Страховая премия (</w:t>
      </w:r>
      <w:hyperlink r:id="rId5" w:tooltip="страховые взносы (определение, описание, подробности)" w:history="1">
        <w:r w:rsidRPr="003306A7">
          <w:rPr>
            <w:rFonts w:ascii="inherit" w:eastAsia="Times New Roman" w:hAnsi="inherit" w:cs="Arial"/>
            <w:color w:val="000099"/>
            <w:sz w:val="24"/>
            <w:szCs w:val="24"/>
            <w:u w:val="single"/>
            <w:lang w:eastAsia="ru-RU"/>
          </w:rPr>
          <w:t>страховые взносы</w:t>
        </w:r>
      </w:hyperlink>
      <w:r w:rsidRPr="003306A7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) определяется в соответствии с количеством застрахованных работников, застрахованного имущества, с учетом базовых ставок страховых тарифов и поправочных коэффициентов к ним, определяемых с учетом технических характеристик застрахованного имущества, характера страхового риска и условий договора страхования, в том числе наличия франшизы и ее размера по условиям договора страхования. Расходы на </w:t>
      </w:r>
      <w:hyperlink r:id="rId6" w:tooltip="повышение квалификации (определение, описание, подробности)" w:history="1">
        <w:r w:rsidRPr="003306A7">
          <w:rPr>
            <w:rFonts w:ascii="inherit" w:eastAsia="Times New Roman" w:hAnsi="inherit" w:cs="Arial"/>
            <w:color w:val="000099"/>
            <w:sz w:val="24"/>
            <w:szCs w:val="24"/>
            <w:u w:val="single"/>
            <w:lang w:eastAsia="ru-RU"/>
          </w:rPr>
          <w:t>повышение квалификации</w:t>
        </w:r>
      </w:hyperlink>
      <w:r w:rsidRPr="003306A7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 (профессиональную переподготовку) определяются с учетом требований законодательства РФ, количества работников, направляемых на повышение квалификации, и цены обучения одного работника по каждому виду дополнительного профессионального образования. Сюда же относятся расходы на оплату медицинских осмотров, консультационных услуг, экспертных услуг, научно-исследовательских работ и т. д.;</w:t>
      </w:r>
    </w:p>
    <w:p w:rsidR="003306A7" w:rsidRPr="003306A7" w:rsidRDefault="003306A7" w:rsidP="00DF1146">
      <w:pPr>
        <w:numPr>
          <w:ilvl w:val="0"/>
          <w:numId w:val="4"/>
        </w:numPr>
        <w:shd w:val="clear" w:color="auto" w:fill="FFFFFF"/>
        <w:spacing w:after="0" w:line="330" w:lineRule="atLeast"/>
        <w:ind w:left="675"/>
        <w:jc w:val="both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3306A7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приобретения основных средств (к примеру, оборудования, транспортных средств, мебели, инвентаря, бытовых приборов). Такие расчеты (обоснования) осуществляются с учетом среднего срока эксплуатации амортизируемого имущества. </w:t>
      </w:r>
      <w:proofErr w:type="gramStart"/>
      <w:r w:rsidRPr="003306A7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Должны применяться нормы обеспеченности таким имуществом, выраженные в натуральных показателях, установленные правовыми актами, а также стоимость приобретения необходимого имущества, определенная методом сопоставимых рыночных цен (анализа рынка), заключающемся в анализе информации о рыночных ценах идентичных (однородных) товаров, работ, услуг, в том числе информации о ценах организаций-изготовителей, об уровне цен, имеющихся у органов государственной статистики, а также в средствах массовой информации и</w:t>
      </w:r>
      <w:proofErr w:type="gramEnd"/>
      <w:r w:rsidRPr="003306A7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 специальной литературе, включая официальные сайты в Интернете производителей и поставщиков;</w:t>
      </w:r>
    </w:p>
    <w:p w:rsidR="003306A7" w:rsidRPr="003306A7" w:rsidRDefault="003306A7" w:rsidP="00DF1146">
      <w:pPr>
        <w:numPr>
          <w:ilvl w:val="0"/>
          <w:numId w:val="4"/>
        </w:numPr>
        <w:shd w:val="clear" w:color="auto" w:fill="FFFFFF"/>
        <w:spacing w:after="0" w:line="330" w:lineRule="atLeast"/>
        <w:ind w:left="675"/>
        <w:jc w:val="both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3306A7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приобретения материальных запасов. Расчеты (обоснования) расходов на это должны осуществляться с учетом потребности в продуктах питания, лекарственных средствах, горюче-смазочных и строительных материалах, мягком инвентаре и специальной одежде и обуви, запасных частях к оборудованию и транспортным средствам, хозяйственных товарах и канцелярских принадлежностях в соответствии с нормами обеспеченности таким имуществом, выраженными в натуральных показателях.</w:t>
      </w:r>
    </w:p>
    <w:p w:rsidR="003306A7" w:rsidRPr="003306A7" w:rsidRDefault="003306A7" w:rsidP="00DF1146">
      <w:pPr>
        <w:shd w:val="clear" w:color="auto" w:fill="FFFFFF"/>
        <w:spacing w:before="450" w:after="300" w:line="312" w:lineRule="atLeast"/>
        <w:jc w:val="both"/>
        <w:textAlignment w:val="baseline"/>
        <w:outlineLvl w:val="1"/>
        <w:rPr>
          <w:rFonts w:ascii="inherit" w:eastAsia="Times New Roman" w:hAnsi="inherit" w:cs="Arial"/>
          <w:b/>
          <w:bCs/>
          <w:color w:val="000000"/>
          <w:sz w:val="33"/>
          <w:szCs w:val="33"/>
          <w:lang w:eastAsia="ru-RU"/>
        </w:rPr>
      </w:pPr>
      <w:r w:rsidRPr="003306A7">
        <w:rPr>
          <w:rFonts w:ascii="inherit" w:eastAsia="Times New Roman" w:hAnsi="inherit" w:cs="Arial"/>
          <w:b/>
          <w:bCs/>
          <w:color w:val="000000"/>
          <w:sz w:val="33"/>
          <w:szCs w:val="33"/>
          <w:lang w:eastAsia="ru-RU"/>
        </w:rPr>
        <w:lastRenderedPageBreak/>
        <w:t>Сведения о целевых субсидиях.</w:t>
      </w:r>
    </w:p>
    <w:p w:rsidR="003306A7" w:rsidRPr="003306A7" w:rsidRDefault="003306A7" w:rsidP="00DF1146">
      <w:pPr>
        <w:shd w:val="clear" w:color="auto" w:fill="FFFFFF"/>
        <w:spacing w:before="100" w:beforeAutospacing="1" w:after="300" w:line="360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3306A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 случае предоставления учреждению целевой субсидии (за исключением субсидий, предоставленных учреждению на возмещение нормативных затрат, связанных с оказанием государственных (муниципальных) услуг в соответствии с государственным (муниципальным) заданием), кроме плана, ему необходимо составить и представить учредителю сведения об операциях с целевыми субсидиями, предоставленными государственному (муниципальному) учреждению (ф. 0501016) (далее – сведения о целевых субсидиях).</w:t>
      </w:r>
      <w:proofErr w:type="gramEnd"/>
    </w:p>
    <w:p w:rsidR="003306A7" w:rsidRPr="003306A7" w:rsidRDefault="003306A7" w:rsidP="00DF1146">
      <w:pPr>
        <w:shd w:val="clear" w:color="auto" w:fill="FFFFFF"/>
        <w:spacing w:before="100" w:beforeAutospacing="1" w:after="300" w:line="360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06A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Отметим, что сведения о целевых субсидиях не должны содержать информации о субсидиях, предоставленных учреждению на финансовое обеспечение выполнения государственного (муниципального) задания. На основании сведений о целевых субсидиях, утвержденных учредителем, учреждение составляет отдельно сведения о целевых субсидиях для осуществления расходов за счет целевых субсидий данным учреждением и сведения о целевых субсидиях для осуществления расходов за счет целевых субсидий по каждому подразделению.</w:t>
      </w:r>
    </w:p>
    <w:p w:rsidR="003306A7" w:rsidRPr="003306A7" w:rsidRDefault="003306A7" w:rsidP="00DF1146">
      <w:pPr>
        <w:shd w:val="clear" w:color="auto" w:fill="FFFFFF"/>
        <w:spacing w:before="100" w:beforeAutospacing="1" w:after="300" w:line="360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06A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Напомним, что предоставление субсидий осуществляется в соответствии с соглашениями, заключаемыми между учредителем и бюджетным учреждением (</w:t>
      </w:r>
      <w:proofErr w:type="gramStart"/>
      <w:r w:rsidRPr="003306A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</w:t>
      </w:r>
      <w:proofErr w:type="gramEnd"/>
      <w:r w:rsidRPr="003306A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 1 ст. 78.1 БК РФ). Указанное соглашение должно определять права, обязанности и ответственность сторон, в том числе объем и периодичность перечисления субсидии в течение финансового года.</w:t>
      </w:r>
    </w:p>
    <w:p w:rsidR="003306A7" w:rsidRPr="003306A7" w:rsidRDefault="003306A7" w:rsidP="00DF1146">
      <w:pPr>
        <w:shd w:val="clear" w:color="auto" w:fill="FFFFFF"/>
        <w:spacing w:before="100" w:beforeAutospacing="1" w:after="300" w:line="360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3306A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Обязательными условиями предоставления учреждению субсидий на иные цели, включаемыми в договоры (соглашения) о предоставлении субсидий, являются согласие учреждений на осуществление главным распорядителем (распорядителем) бюджетных средств, предоставившим субсидии, и органами государственного (муниципального) финансового контроля проверок соблюдения получателями субсидий условий, целей и порядка их предоставления и запрет приобретения за счет полученных средств иностранной валюты, за исключением операций, осуществляемых в соответствии с валютным</w:t>
      </w:r>
      <w:proofErr w:type="gramEnd"/>
      <w:r w:rsidRPr="003306A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законодательством РФ при закупке (поставке) высокотехнологичного импортного оборудования, сырья и комплектующих изделий, а также связанных с достижением целей предоставления указанных средств иных операций, определенных нормативными правовыми актами, муниципальными правовыми актами, регулирующими порядок предоставления субсидий некоммерческим организациям, не являющимся государственными (муниципальными) учреждениями (ч. 3 ст. 78.1 БК РФ).</w:t>
      </w:r>
    </w:p>
    <w:p w:rsidR="003306A7" w:rsidRPr="003306A7" w:rsidRDefault="003306A7" w:rsidP="00DF1146">
      <w:pPr>
        <w:shd w:val="clear" w:color="auto" w:fill="FFFFFF"/>
        <w:spacing w:before="100" w:beforeAutospacing="1" w:after="300" w:line="360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06A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 составлении сведений учреждением (подразделением) в них указываются:</w:t>
      </w:r>
    </w:p>
    <w:p w:rsidR="003306A7" w:rsidRPr="003306A7" w:rsidRDefault="003306A7" w:rsidP="00DF1146">
      <w:pPr>
        <w:numPr>
          <w:ilvl w:val="0"/>
          <w:numId w:val="5"/>
        </w:numPr>
        <w:shd w:val="clear" w:color="auto" w:fill="FFFFFF"/>
        <w:spacing w:after="0" w:line="330" w:lineRule="atLeast"/>
        <w:ind w:left="675"/>
        <w:jc w:val="both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3306A7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в графе 1 – наименование целевой субсидии с указанием цели, на осуществление которой предоставляется целевая субсидия;</w:t>
      </w:r>
    </w:p>
    <w:p w:rsidR="003306A7" w:rsidRPr="003306A7" w:rsidRDefault="003306A7" w:rsidP="00DF1146">
      <w:pPr>
        <w:numPr>
          <w:ilvl w:val="0"/>
          <w:numId w:val="5"/>
        </w:numPr>
        <w:shd w:val="clear" w:color="auto" w:fill="FFFFFF"/>
        <w:spacing w:after="0" w:line="330" w:lineRule="atLeast"/>
        <w:ind w:left="675"/>
        <w:jc w:val="both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3306A7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в графе 2 – аналитический код, присвоенный для учета операций с целевой субсидией (далее – код субсидии);</w:t>
      </w:r>
    </w:p>
    <w:p w:rsidR="003306A7" w:rsidRPr="003306A7" w:rsidRDefault="003306A7" w:rsidP="00DF1146">
      <w:pPr>
        <w:numPr>
          <w:ilvl w:val="0"/>
          <w:numId w:val="5"/>
        </w:numPr>
        <w:shd w:val="clear" w:color="auto" w:fill="FFFFFF"/>
        <w:spacing w:after="0" w:line="330" w:lineRule="atLeast"/>
        <w:ind w:left="675"/>
        <w:jc w:val="both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3306A7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lastRenderedPageBreak/>
        <w:t>в графе 3 – код (составная часть кода) по бюджетной классификации РФ исходя из экономического содержания планируемых поступлений и выплат;</w:t>
      </w:r>
    </w:p>
    <w:p w:rsidR="003306A7" w:rsidRPr="003306A7" w:rsidRDefault="003306A7" w:rsidP="00DF1146">
      <w:pPr>
        <w:numPr>
          <w:ilvl w:val="0"/>
          <w:numId w:val="5"/>
        </w:numPr>
        <w:shd w:val="clear" w:color="auto" w:fill="FFFFFF"/>
        <w:spacing w:after="0" w:line="330" w:lineRule="atLeast"/>
        <w:ind w:left="675"/>
        <w:jc w:val="both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3306A7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в графе 4 – код объекта капитального строительства (объекта недвижимости, мероприятия (укрупненного инвестиционного проекта)), включенного в федеральную адресную инвестиционную программу, на строительство (реконструкцию, в том числе с элементами реставрации, техническое перевооружение) или приобретение которого предоставляется целевая субсидия;</w:t>
      </w:r>
    </w:p>
    <w:p w:rsidR="003306A7" w:rsidRPr="003306A7" w:rsidRDefault="003306A7" w:rsidP="00DF1146">
      <w:pPr>
        <w:numPr>
          <w:ilvl w:val="0"/>
          <w:numId w:val="5"/>
        </w:numPr>
        <w:shd w:val="clear" w:color="auto" w:fill="FFFFFF"/>
        <w:spacing w:after="0" w:line="330" w:lineRule="atLeast"/>
        <w:ind w:left="675"/>
        <w:jc w:val="both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3306A7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в графах 5, 7 – код субсидии, присвоенный в прошлых финансовых периодах в случае, если коды субсидии, присвоенные для учета операций с целевой субсидией в прошлые годы и в новом финансовом году, различаются;</w:t>
      </w:r>
    </w:p>
    <w:p w:rsidR="003306A7" w:rsidRPr="003306A7" w:rsidRDefault="003306A7" w:rsidP="00DF1146">
      <w:pPr>
        <w:numPr>
          <w:ilvl w:val="0"/>
          <w:numId w:val="5"/>
        </w:numPr>
        <w:shd w:val="clear" w:color="auto" w:fill="FFFFFF"/>
        <w:spacing w:after="0" w:line="330" w:lineRule="atLeast"/>
        <w:ind w:left="675"/>
        <w:jc w:val="both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3306A7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в графе 6 – суммы не использованных на начало текущего финансового года остатков целевых субсидий, по которым в установленном порядке подтверждена потребность в направлении их </w:t>
      </w:r>
      <w:proofErr w:type="gramStart"/>
      <w:r w:rsidRPr="003306A7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на те</w:t>
      </w:r>
      <w:proofErr w:type="gramEnd"/>
      <w:r w:rsidRPr="003306A7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 же цели;</w:t>
      </w:r>
    </w:p>
    <w:p w:rsidR="003306A7" w:rsidRPr="003306A7" w:rsidRDefault="003306A7" w:rsidP="00DF1146">
      <w:pPr>
        <w:numPr>
          <w:ilvl w:val="0"/>
          <w:numId w:val="5"/>
        </w:numPr>
        <w:shd w:val="clear" w:color="auto" w:fill="FFFFFF"/>
        <w:spacing w:after="0" w:line="330" w:lineRule="atLeast"/>
        <w:ind w:left="675"/>
        <w:jc w:val="both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3306A7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в графе 8 – суммы возвращенной учреждению задолженности по выплатам, произведенным из средств субсидии в прошлых финансовых периодах, по которым в установленном порядке подтверждена потребность в направлении их </w:t>
      </w:r>
      <w:proofErr w:type="gramStart"/>
      <w:r w:rsidRPr="003306A7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на те</w:t>
      </w:r>
      <w:proofErr w:type="gramEnd"/>
      <w:r w:rsidRPr="003306A7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 же цели;</w:t>
      </w:r>
    </w:p>
    <w:p w:rsidR="003306A7" w:rsidRPr="003306A7" w:rsidRDefault="003306A7" w:rsidP="00DF1146">
      <w:pPr>
        <w:numPr>
          <w:ilvl w:val="0"/>
          <w:numId w:val="5"/>
        </w:numPr>
        <w:shd w:val="clear" w:color="auto" w:fill="FFFFFF"/>
        <w:spacing w:after="0" w:line="330" w:lineRule="atLeast"/>
        <w:ind w:left="675"/>
        <w:jc w:val="both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3306A7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в графах 9, 10 – суммы планируемых в текущем финансовом году поступлений целевых субсидий и выплат, источником финансового обеспечения которых являются целевые субсидии соответственно.</w:t>
      </w:r>
    </w:p>
    <w:p w:rsidR="003306A7" w:rsidRPr="003306A7" w:rsidRDefault="003306A7" w:rsidP="00DF1146">
      <w:pPr>
        <w:shd w:val="clear" w:color="auto" w:fill="FFFFFF"/>
        <w:spacing w:before="100" w:beforeAutospacing="1" w:after="300" w:line="360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06A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Если учреждению (подразделению) предоставляются несколько целевых субсидий, показатели выплат в сведениях отражаются без формирования промежуточных итогов по каждой целевой субсидии.</w:t>
      </w:r>
    </w:p>
    <w:p w:rsidR="003306A7" w:rsidRPr="003306A7" w:rsidRDefault="003306A7" w:rsidP="00DF1146">
      <w:pPr>
        <w:shd w:val="clear" w:color="auto" w:fill="FFFFFF"/>
        <w:spacing w:before="100" w:beforeAutospacing="1" w:after="300" w:line="360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06A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Формирование объемов планируемых выплат в сведениях осуществляется согласно нормативному (муниципальному) правовому акту, устанавливающему порядок предоставления целевой субсидии из соответствующего бюджета.</w:t>
      </w:r>
    </w:p>
    <w:p w:rsidR="003306A7" w:rsidRPr="003306A7" w:rsidRDefault="003306A7" w:rsidP="00DF1146">
      <w:pPr>
        <w:shd w:val="clear" w:color="auto" w:fill="FFFFFF"/>
        <w:spacing w:before="100" w:beforeAutospacing="1" w:line="360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06A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заключение отметим большое количество опечаток, допущенных в формах расчетов (обоснований) к плану ФХД. По-видимому, в дальнейшем следует ожидать внесения изменений в уже утвержденные формы.</w:t>
      </w:r>
    </w:p>
    <w:p w:rsidR="00EA5ECB" w:rsidRDefault="00EA5ECB"/>
    <w:sectPr w:rsidR="00EA5ECB" w:rsidSect="00DF1146">
      <w:pgSz w:w="11906" w:h="16838"/>
      <w:pgMar w:top="426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E40018"/>
    <w:multiLevelType w:val="multilevel"/>
    <w:tmpl w:val="AD3A0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5E61C89"/>
    <w:multiLevelType w:val="multilevel"/>
    <w:tmpl w:val="CCD8F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325804DA"/>
    <w:multiLevelType w:val="multilevel"/>
    <w:tmpl w:val="99E21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3AD83BAA"/>
    <w:multiLevelType w:val="multilevel"/>
    <w:tmpl w:val="663A5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56153BCB"/>
    <w:multiLevelType w:val="multilevel"/>
    <w:tmpl w:val="931C0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306A7"/>
    <w:rsid w:val="003306A7"/>
    <w:rsid w:val="0070547C"/>
    <w:rsid w:val="00DF1146"/>
    <w:rsid w:val="00EA5E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ECB"/>
  </w:style>
  <w:style w:type="paragraph" w:styleId="1">
    <w:name w:val="heading 1"/>
    <w:basedOn w:val="a"/>
    <w:link w:val="10"/>
    <w:uiPriority w:val="9"/>
    <w:qFormat/>
    <w:rsid w:val="003306A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3306A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06A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306A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3306A7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3306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3306A7"/>
    <w:rPr>
      <w:b/>
      <w:bCs/>
    </w:rPr>
  </w:style>
  <w:style w:type="character" w:styleId="a6">
    <w:name w:val="Emphasis"/>
    <w:basedOn w:val="a0"/>
    <w:uiPriority w:val="20"/>
    <w:qFormat/>
    <w:rsid w:val="003306A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3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103378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7069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udit-it.ru/terms/trud/povyshenie_kvalifikatsii.html" TargetMode="External"/><Relationship Id="rId5" Type="http://schemas.openxmlformats.org/officeDocument/2006/relationships/hyperlink" Target="https://www.audit-it.ru/terms/taxation/strakhovye_vznosy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3134</Words>
  <Characters>17867</Characters>
  <Application>Microsoft Office Word</Application>
  <DocSecurity>0</DocSecurity>
  <Lines>148</Lines>
  <Paragraphs>41</Paragraphs>
  <ScaleCrop>false</ScaleCrop>
  <Company>Microsoft</Company>
  <LinksUpToDate>false</LinksUpToDate>
  <CharactersWithSpaces>20960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2020-09-13T09:58:00Z</dcterms:created>
  <dcterms:modified xsi:type="dcterms:W3CDTF">2020-09-13T11:26:00Z</dcterms:modified>
</cp:coreProperties>
</file>